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A40" w:rsidRPr="00041A40" w:rsidRDefault="00041A40" w:rsidP="00041A40">
      <w:pPr>
        <w:widowControl w:val="0"/>
        <w:autoSpaceDE w:val="0"/>
        <w:autoSpaceDN w:val="0"/>
        <w:adjustRightInd w:val="0"/>
        <w:ind w:firstLine="0"/>
        <w:jc w:val="right"/>
        <w:outlineLvl w:val="0"/>
        <w:rPr>
          <w:rFonts w:eastAsia="Times New Roman" w:cs="Times New Roman"/>
          <w:sz w:val="22"/>
          <w:szCs w:val="22"/>
          <w:lang w:eastAsia="en-US"/>
        </w:rPr>
      </w:pPr>
      <w:bookmarkStart w:id="0" w:name="Par1"/>
      <w:bookmarkStart w:id="1" w:name="_GoBack"/>
      <w:bookmarkEnd w:id="0"/>
      <w:bookmarkEnd w:id="1"/>
      <w:r w:rsidRPr="00041A40">
        <w:rPr>
          <w:rFonts w:eastAsia="Times New Roman" w:cs="Times New Roman"/>
          <w:sz w:val="22"/>
          <w:szCs w:val="22"/>
          <w:lang w:eastAsia="en-US"/>
        </w:rPr>
        <w:t>Введен в действие</w:t>
      </w:r>
    </w:p>
    <w:p w:rsidR="00041A40" w:rsidRPr="00041A40" w:rsidRDefault="00A97CF5" w:rsidP="00041A40">
      <w:pPr>
        <w:widowControl w:val="0"/>
        <w:autoSpaceDE w:val="0"/>
        <w:autoSpaceDN w:val="0"/>
        <w:adjustRightInd w:val="0"/>
        <w:ind w:firstLine="0"/>
        <w:jc w:val="right"/>
        <w:rPr>
          <w:rFonts w:eastAsia="Times New Roman" w:cs="Times New Roman"/>
          <w:sz w:val="22"/>
          <w:szCs w:val="22"/>
          <w:lang w:eastAsia="en-US"/>
        </w:rPr>
      </w:pPr>
      <w:hyperlink r:id="rId5" w:history="1">
        <w:r w:rsidR="00041A40" w:rsidRPr="00041A40">
          <w:rPr>
            <w:rFonts w:eastAsia="Times New Roman" w:cs="Times New Roman"/>
            <w:color w:val="0000FF"/>
            <w:sz w:val="22"/>
            <w:szCs w:val="22"/>
            <w:lang w:eastAsia="en-US"/>
          </w:rPr>
          <w:t>Приказом</w:t>
        </w:r>
      </w:hyperlink>
      <w:r w:rsidR="00041A40" w:rsidRPr="00041A40">
        <w:rPr>
          <w:rFonts w:eastAsia="Times New Roman" w:cs="Times New Roman"/>
          <w:sz w:val="22"/>
          <w:szCs w:val="22"/>
          <w:lang w:eastAsia="en-US"/>
        </w:rPr>
        <w:t xml:space="preserve"> Федерального</w:t>
      </w: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r w:rsidRPr="00041A40">
        <w:rPr>
          <w:rFonts w:eastAsia="Times New Roman" w:cs="Times New Roman"/>
          <w:sz w:val="22"/>
          <w:szCs w:val="22"/>
          <w:lang w:eastAsia="en-US"/>
        </w:rPr>
        <w:t>агентства по техническому</w:t>
      </w: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r w:rsidRPr="00041A40">
        <w:rPr>
          <w:rFonts w:eastAsia="Times New Roman" w:cs="Times New Roman"/>
          <w:sz w:val="22"/>
          <w:szCs w:val="22"/>
          <w:lang w:eastAsia="en-US"/>
        </w:rPr>
        <w:t>регулированию и метрологии</w:t>
      </w: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r w:rsidRPr="00041A40">
        <w:rPr>
          <w:rFonts w:eastAsia="Times New Roman" w:cs="Times New Roman"/>
          <w:sz w:val="22"/>
          <w:szCs w:val="22"/>
          <w:lang w:eastAsia="en-US"/>
        </w:rPr>
        <w:t>от 22 июля 2013 г. N 400-ст</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b/>
          <w:bCs/>
          <w:sz w:val="22"/>
          <w:szCs w:val="22"/>
          <w:lang w:eastAsia="en-US"/>
        </w:rPr>
      </w:pPr>
      <w:r w:rsidRPr="00041A40">
        <w:rPr>
          <w:rFonts w:eastAsia="Times New Roman" w:cs="Times New Roman"/>
          <w:b/>
          <w:bCs/>
          <w:sz w:val="22"/>
          <w:szCs w:val="22"/>
          <w:lang w:eastAsia="en-US"/>
        </w:rPr>
        <w:t>МЕЖГОСУДАРСТВЕННЫЙ СТАНДАРТ</w:t>
      </w:r>
    </w:p>
    <w:p w:rsidR="00041A40" w:rsidRPr="00041A40" w:rsidRDefault="00041A40" w:rsidP="00041A40">
      <w:pPr>
        <w:widowControl w:val="0"/>
        <w:autoSpaceDE w:val="0"/>
        <w:autoSpaceDN w:val="0"/>
        <w:adjustRightInd w:val="0"/>
        <w:ind w:firstLine="0"/>
        <w:jc w:val="center"/>
        <w:rPr>
          <w:rFonts w:eastAsia="Times New Roman" w:cs="Times New Roman"/>
          <w:b/>
          <w:bCs/>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b/>
          <w:bCs/>
          <w:sz w:val="22"/>
          <w:szCs w:val="22"/>
          <w:lang w:eastAsia="en-US"/>
        </w:rPr>
      </w:pPr>
      <w:r w:rsidRPr="00041A40">
        <w:rPr>
          <w:rFonts w:eastAsia="Times New Roman" w:cs="Times New Roman"/>
          <w:b/>
          <w:bCs/>
          <w:sz w:val="22"/>
          <w:szCs w:val="22"/>
          <w:lang w:eastAsia="en-US"/>
        </w:rPr>
        <w:t>ЭЛЕКТРИЧЕСКАЯ ЭНЕРГИЯ</w:t>
      </w:r>
    </w:p>
    <w:p w:rsidR="00041A40" w:rsidRPr="00041A40" w:rsidRDefault="00041A40" w:rsidP="00041A40">
      <w:pPr>
        <w:widowControl w:val="0"/>
        <w:autoSpaceDE w:val="0"/>
        <w:autoSpaceDN w:val="0"/>
        <w:adjustRightInd w:val="0"/>
        <w:ind w:firstLine="0"/>
        <w:jc w:val="center"/>
        <w:rPr>
          <w:rFonts w:eastAsia="Times New Roman" w:cs="Times New Roman"/>
          <w:b/>
          <w:bCs/>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b/>
          <w:bCs/>
          <w:sz w:val="22"/>
          <w:szCs w:val="22"/>
          <w:lang w:eastAsia="en-US"/>
        </w:rPr>
      </w:pPr>
      <w:r w:rsidRPr="00041A40">
        <w:rPr>
          <w:rFonts w:eastAsia="Times New Roman" w:cs="Times New Roman"/>
          <w:b/>
          <w:bCs/>
          <w:sz w:val="22"/>
          <w:szCs w:val="22"/>
          <w:lang w:eastAsia="en-US"/>
        </w:rPr>
        <w:t>СОВМЕСТИМОСТЬ ТЕХНИЧЕСКИХ СРЕДСТВ ЭЛЕКТРОМАГНИТНАЯ</w:t>
      </w:r>
    </w:p>
    <w:p w:rsidR="00041A40" w:rsidRPr="00041A40" w:rsidRDefault="00041A40" w:rsidP="00041A40">
      <w:pPr>
        <w:widowControl w:val="0"/>
        <w:autoSpaceDE w:val="0"/>
        <w:autoSpaceDN w:val="0"/>
        <w:adjustRightInd w:val="0"/>
        <w:ind w:firstLine="0"/>
        <w:jc w:val="center"/>
        <w:rPr>
          <w:rFonts w:eastAsia="Times New Roman" w:cs="Times New Roman"/>
          <w:b/>
          <w:bCs/>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b/>
          <w:bCs/>
          <w:sz w:val="22"/>
          <w:szCs w:val="22"/>
          <w:lang w:eastAsia="en-US"/>
        </w:rPr>
      </w:pPr>
      <w:r w:rsidRPr="00041A40">
        <w:rPr>
          <w:rFonts w:eastAsia="Times New Roman" w:cs="Times New Roman"/>
          <w:b/>
          <w:bCs/>
          <w:sz w:val="22"/>
          <w:szCs w:val="22"/>
          <w:lang w:eastAsia="en-US"/>
        </w:rPr>
        <w:t>НОРМЫ КАЧЕСТВА ЭЛЕКТРИЧЕСКОЙ ЭНЕРГИИ</w:t>
      </w:r>
    </w:p>
    <w:p w:rsidR="00041A40" w:rsidRPr="00041A40" w:rsidRDefault="00041A40" w:rsidP="00041A40">
      <w:pPr>
        <w:widowControl w:val="0"/>
        <w:autoSpaceDE w:val="0"/>
        <w:autoSpaceDN w:val="0"/>
        <w:adjustRightInd w:val="0"/>
        <w:ind w:firstLine="0"/>
        <w:jc w:val="center"/>
        <w:rPr>
          <w:rFonts w:eastAsia="Times New Roman" w:cs="Times New Roman"/>
          <w:b/>
          <w:bCs/>
          <w:sz w:val="22"/>
          <w:szCs w:val="22"/>
          <w:lang w:eastAsia="en-US"/>
        </w:rPr>
      </w:pPr>
      <w:r w:rsidRPr="00041A40">
        <w:rPr>
          <w:rFonts w:eastAsia="Times New Roman" w:cs="Times New Roman"/>
          <w:b/>
          <w:bCs/>
          <w:sz w:val="22"/>
          <w:szCs w:val="22"/>
          <w:lang w:eastAsia="en-US"/>
        </w:rPr>
        <w:t>В СИСТЕМАХ ЭЛЕКТРОСНАБЖЕНИЯ ОБЩЕГО НАЗНАЧЕНИЯ</w:t>
      </w:r>
    </w:p>
    <w:p w:rsidR="00041A40" w:rsidRPr="00041A40" w:rsidRDefault="00041A40" w:rsidP="00041A40">
      <w:pPr>
        <w:widowControl w:val="0"/>
        <w:autoSpaceDE w:val="0"/>
        <w:autoSpaceDN w:val="0"/>
        <w:adjustRightInd w:val="0"/>
        <w:ind w:firstLine="0"/>
        <w:jc w:val="center"/>
        <w:rPr>
          <w:rFonts w:eastAsia="Times New Roman" w:cs="Times New Roman"/>
          <w:b/>
          <w:bCs/>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b/>
          <w:bCs/>
          <w:sz w:val="22"/>
          <w:szCs w:val="22"/>
          <w:lang w:val="en-US" w:eastAsia="en-US"/>
        </w:rPr>
      </w:pPr>
      <w:r w:rsidRPr="00041A40">
        <w:rPr>
          <w:rFonts w:eastAsia="Times New Roman" w:cs="Times New Roman"/>
          <w:b/>
          <w:bCs/>
          <w:sz w:val="22"/>
          <w:szCs w:val="22"/>
          <w:lang w:val="en-US" w:eastAsia="en-US"/>
        </w:rPr>
        <w:t>Electric energy. Electromagnetic compatibility</w:t>
      </w:r>
    </w:p>
    <w:p w:rsidR="00041A40" w:rsidRPr="00041A40" w:rsidRDefault="00041A40" w:rsidP="00041A40">
      <w:pPr>
        <w:widowControl w:val="0"/>
        <w:autoSpaceDE w:val="0"/>
        <w:autoSpaceDN w:val="0"/>
        <w:adjustRightInd w:val="0"/>
        <w:ind w:firstLine="0"/>
        <w:jc w:val="center"/>
        <w:rPr>
          <w:rFonts w:eastAsia="Times New Roman" w:cs="Times New Roman"/>
          <w:b/>
          <w:bCs/>
          <w:sz w:val="22"/>
          <w:szCs w:val="22"/>
          <w:lang w:val="en-US" w:eastAsia="en-US"/>
        </w:rPr>
      </w:pPr>
      <w:r w:rsidRPr="00041A40">
        <w:rPr>
          <w:rFonts w:eastAsia="Times New Roman" w:cs="Times New Roman"/>
          <w:b/>
          <w:bCs/>
          <w:sz w:val="22"/>
          <w:szCs w:val="22"/>
          <w:lang w:val="en-US" w:eastAsia="en-US"/>
        </w:rPr>
        <w:t>of technical equipment. Power quality limits</w:t>
      </w:r>
    </w:p>
    <w:p w:rsidR="00041A40" w:rsidRPr="00041A40" w:rsidRDefault="00041A40" w:rsidP="00041A40">
      <w:pPr>
        <w:widowControl w:val="0"/>
        <w:autoSpaceDE w:val="0"/>
        <w:autoSpaceDN w:val="0"/>
        <w:adjustRightInd w:val="0"/>
        <w:ind w:firstLine="0"/>
        <w:jc w:val="center"/>
        <w:rPr>
          <w:rFonts w:eastAsia="Times New Roman" w:cs="Times New Roman"/>
          <w:b/>
          <w:bCs/>
          <w:sz w:val="22"/>
          <w:szCs w:val="22"/>
          <w:lang w:val="en-US" w:eastAsia="en-US"/>
        </w:rPr>
      </w:pPr>
      <w:r w:rsidRPr="00041A40">
        <w:rPr>
          <w:rFonts w:eastAsia="Times New Roman" w:cs="Times New Roman"/>
          <w:b/>
          <w:bCs/>
          <w:sz w:val="22"/>
          <w:szCs w:val="22"/>
          <w:lang w:val="en-US" w:eastAsia="en-US"/>
        </w:rPr>
        <w:t>in the public power supply systems</w:t>
      </w:r>
    </w:p>
    <w:p w:rsidR="00041A40" w:rsidRPr="00041A40" w:rsidRDefault="00041A40" w:rsidP="00041A40">
      <w:pPr>
        <w:widowControl w:val="0"/>
        <w:autoSpaceDE w:val="0"/>
        <w:autoSpaceDN w:val="0"/>
        <w:adjustRightInd w:val="0"/>
        <w:ind w:firstLine="0"/>
        <w:jc w:val="center"/>
        <w:rPr>
          <w:rFonts w:eastAsia="Times New Roman" w:cs="Times New Roman"/>
          <w:b/>
          <w:bCs/>
          <w:sz w:val="22"/>
          <w:szCs w:val="22"/>
          <w:lang w:val="en-US" w:eastAsia="en-US"/>
        </w:rPr>
      </w:pPr>
    </w:p>
    <w:p w:rsidR="00041A40" w:rsidRPr="00041A40" w:rsidRDefault="00041A40" w:rsidP="00041A40">
      <w:pPr>
        <w:widowControl w:val="0"/>
        <w:autoSpaceDE w:val="0"/>
        <w:autoSpaceDN w:val="0"/>
        <w:adjustRightInd w:val="0"/>
        <w:ind w:firstLine="0"/>
        <w:jc w:val="center"/>
        <w:rPr>
          <w:rFonts w:eastAsia="Times New Roman" w:cs="Times New Roman"/>
          <w:b/>
          <w:bCs/>
          <w:sz w:val="22"/>
          <w:szCs w:val="22"/>
          <w:lang w:eastAsia="en-US"/>
        </w:rPr>
      </w:pPr>
      <w:r w:rsidRPr="00041A40">
        <w:rPr>
          <w:rFonts w:eastAsia="Times New Roman" w:cs="Times New Roman"/>
          <w:b/>
          <w:bCs/>
          <w:sz w:val="22"/>
          <w:szCs w:val="22"/>
          <w:lang w:eastAsia="en-US"/>
        </w:rPr>
        <w:t>(EN 50160:2010, NEQ)</w:t>
      </w:r>
    </w:p>
    <w:p w:rsidR="00041A40" w:rsidRPr="00041A40" w:rsidRDefault="00041A40" w:rsidP="00041A40">
      <w:pPr>
        <w:widowControl w:val="0"/>
        <w:autoSpaceDE w:val="0"/>
        <w:autoSpaceDN w:val="0"/>
        <w:adjustRightInd w:val="0"/>
        <w:ind w:firstLine="0"/>
        <w:jc w:val="center"/>
        <w:rPr>
          <w:rFonts w:eastAsia="Times New Roman" w:cs="Times New Roman"/>
          <w:b/>
          <w:bCs/>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b/>
          <w:bCs/>
          <w:sz w:val="22"/>
          <w:szCs w:val="22"/>
          <w:lang w:eastAsia="en-US"/>
        </w:rPr>
      </w:pPr>
      <w:r w:rsidRPr="00041A40">
        <w:rPr>
          <w:rFonts w:eastAsia="Times New Roman" w:cs="Times New Roman"/>
          <w:b/>
          <w:bCs/>
          <w:sz w:val="22"/>
          <w:szCs w:val="22"/>
          <w:lang w:eastAsia="en-US"/>
        </w:rPr>
        <w:t>ГОСТ 32144-2013</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r w:rsidRPr="00041A40">
        <w:rPr>
          <w:rFonts w:eastAsia="Times New Roman" w:cs="Times New Roman"/>
          <w:sz w:val="22"/>
          <w:szCs w:val="22"/>
          <w:lang w:eastAsia="en-US"/>
        </w:rPr>
        <w:t>МКС 29.020</w:t>
      </w: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r w:rsidRPr="00041A40">
        <w:rPr>
          <w:rFonts w:eastAsia="Times New Roman" w:cs="Times New Roman"/>
          <w:sz w:val="22"/>
          <w:szCs w:val="22"/>
          <w:lang w:eastAsia="en-US"/>
        </w:rPr>
        <w:t>33.100</w:t>
      </w: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r w:rsidRPr="00041A40">
        <w:rPr>
          <w:rFonts w:eastAsia="Times New Roman" w:cs="Times New Roman"/>
          <w:sz w:val="22"/>
          <w:szCs w:val="22"/>
          <w:lang w:eastAsia="en-US"/>
        </w:rPr>
        <w:t>Дата введения</w:t>
      </w: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r w:rsidRPr="00041A40">
        <w:rPr>
          <w:rFonts w:eastAsia="Times New Roman" w:cs="Times New Roman"/>
          <w:sz w:val="22"/>
          <w:szCs w:val="22"/>
          <w:lang w:eastAsia="en-US"/>
        </w:rPr>
        <w:t>1 июля 2014 года</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outlineLvl w:val="1"/>
        <w:rPr>
          <w:rFonts w:eastAsia="Times New Roman" w:cs="Times New Roman"/>
          <w:sz w:val="22"/>
          <w:szCs w:val="22"/>
          <w:lang w:eastAsia="en-US"/>
        </w:rPr>
      </w:pPr>
      <w:bookmarkStart w:id="2" w:name="Par30"/>
      <w:bookmarkEnd w:id="2"/>
      <w:r w:rsidRPr="00041A40">
        <w:rPr>
          <w:rFonts w:eastAsia="Times New Roman" w:cs="Times New Roman"/>
          <w:sz w:val="22"/>
          <w:szCs w:val="22"/>
          <w:lang w:eastAsia="en-US"/>
        </w:rPr>
        <w:t>Предисловие</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Цели, основные принципы и основной порядок проведения работ по межгосударственной стандартизации установлены </w:t>
      </w:r>
      <w:hyperlink r:id="rId6" w:history="1">
        <w:r w:rsidRPr="00041A40">
          <w:rPr>
            <w:rFonts w:eastAsia="Times New Roman" w:cs="Times New Roman"/>
            <w:color w:val="0000FF"/>
            <w:sz w:val="22"/>
            <w:szCs w:val="22"/>
            <w:lang w:eastAsia="en-US"/>
          </w:rPr>
          <w:t>ГОСТ 1.0-92</w:t>
        </w:r>
      </w:hyperlink>
      <w:r w:rsidRPr="00041A40">
        <w:rPr>
          <w:rFonts w:eastAsia="Times New Roman" w:cs="Times New Roman"/>
          <w:sz w:val="22"/>
          <w:szCs w:val="22"/>
          <w:lang w:eastAsia="en-US"/>
        </w:rPr>
        <w:t xml:space="preserve"> "Межгосударственная система стандартизации. Основные положения" и </w:t>
      </w:r>
      <w:hyperlink r:id="rId7" w:history="1">
        <w:r w:rsidRPr="00041A40">
          <w:rPr>
            <w:rFonts w:eastAsia="Times New Roman" w:cs="Times New Roman"/>
            <w:color w:val="0000FF"/>
            <w:sz w:val="22"/>
            <w:szCs w:val="22"/>
            <w:lang w:eastAsia="en-US"/>
          </w:rPr>
          <w:t>ГОСТ 1.2-2009</w:t>
        </w:r>
      </w:hyperlink>
      <w:r w:rsidRPr="00041A40">
        <w:rPr>
          <w:rFonts w:eastAsia="Times New Roman" w:cs="Times New Roman"/>
          <w:sz w:val="22"/>
          <w:szCs w:val="22"/>
          <w:lang w:eastAsia="en-US"/>
        </w:rPr>
        <w:t xml:space="preserve">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применения, обновления и отмены".</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outlineLvl w:val="1"/>
        <w:rPr>
          <w:rFonts w:eastAsia="Times New Roman" w:cs="Times New Roman"/>
          <w:sz w:val="22"/>
          <w:szCs w:val="22"/>
          <w:lang w:eastAsia="en-US"/>
        </w:rPr>
      </w:pPr>
      <w:bookmarkStart w:id="3" w:name="Par34"/>
      <w:bookmarkEnd w:id="3"/>
      <w:r w:rsidRPr="00041A40">
        <w:rPr>
          <w:rFonts w:eastAsia="Times New Roman" w:cs="Times New Roman"/>
          <w:sz w:val="22"/>
          <w:szCs w:val="22"/>
          <w:lang w:eastAsia="en-US"/>
        </w:rPr>
        <w:t>Сведения о стандарте</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1. Разработан Обществом с ограниченной ответственностью "ЛИНВИТ" и Техническим комитетом по стандартизации ТК 30 "Электромагнитная совместимость технических средств".</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2. Внесен Федеральным агентством по техническому регулированию и метрологии (Росстандарт).</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 Принят Межгосударственным советом по стандартизации, метрологии и сертификации (Протокол N 55-П от 25 марта 2013 г.).</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За принятие проголосовали: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sectPr w:rsidR="00041A40" w:rsidRPr="00041A40" w:rsidSect="00B601EB">
          <w:pgSz w:w="11906" w:h="16838"/>
          <w:pgMar w:top="1134" w:right="850" w:bottom="1134" w:left="1701" w:header="708" w:footer="708" w:gutter="0"/>
          <w:cols w:space="708"/>
          <w:docGrid w:linePitch="360"/>
        </w:sect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3180"/>
        <w:gridCol w:w="1920"/>
        <w:gridCol w:w="4680"/>
      </w:tblGrid>
      <w:tr w:rsidR="00041A40" w:rsidRPr="00041A40" w:rsidTr="00CD6560">
        <w:tc>
          <w:tcPr>
            <w:tcW w:w="31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Краткое наименование страны по </w:t>
            </w:r>
            <w:hyperlink r:id="rId8" w:history="1">
              <w:r w:rsidRPr="00041A40">
                <w:rPr>
                  <w:rFonts w:eastAsia="Times New Roman" w:cs="Times New Roman"/>
                  <w:color w:val="0000FF"/>
                  <w:sz w:val="22"/>
                  <w:szCs w:val="22"/>
                  <w:lang w:eastAsia="en-US"/>
                </w:rPr>
                <w:t>МК (ИСО 3166) 004-97</w:t>
              </w:r>
            </w:hyperlink>
          </w:p>
        </w:tc>
        <w:tc>
          <w:tcPr>
            <w:tcW w:w="19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Код страны по </w:t>
            </w:r>
            <w:hyperlink r:id="rId9" w:history="1">
              <w:r w:rsidRPr="00041A40">
                <w:rPr>
                  <w:rFonts w:eastAsia="Times New Roman" w:cs="Times New Roman"/>
                  <w:color w:val="0000FF"/>
                  <w:sz w:val="22"/>
                  <w:szCs w:val="22"/>
                  <w:lang w:eastAsia="en-US"/>
                </w:rPr>
                <w:t>МК (ИСО 3166) 004-97</w:t>
              </w:r>
            </w:hyperlink>
          </w:p>
        </w:tc>
        <w:tc>
          <w:tcPr>
            <w:tcW w:w="4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Сокращенное наименование национального органа по стандартизации</w:t>
            </w:r>
          </w:p>
        </w:tc>
      </w:tr>
      <w:tr w:rsidR="00041A40" w:rsidRPr="00041A40" w:rsidTr="00CD6560">
        <w:tc>
          <w:tcPr>
            <w:tcW w:w="3180" w:type="dxa"/>
            <w:tcBorders>
              <w:top w:val="single" w:sz="4" w:space="0" w:color="auto"/>
              <w:left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r w:rsidRPr="00041A40">
              <w:rPr>
                <w:rFonts w:eastAsia="Times New Roman" w:cs="Times New Roman"/>
                <w:sz w:val="22"/>
                <w:szCs w:val="22"/>
                <w:lang w:eastAsia="en-US"/>
              </w:rPr>
              <w:t>Армения</w:t>
            </w:r>
          </w:p>
        </w:tc>
        <w:tc>
          <w:tcPr>
            <w:tcW w:w="1920" w:type="dxa"/>
            <w:tcBorders>
              <w:top w:val="single" w:sz="4" w:space="0" w:color="auto"/>
              <w:left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AM</w:t>
            </w:r>
          </w:p>
        </w:tc>
        <w:tc>
          <w:tcPr>
            <w:tcW w:w="4680" w:type="dxa"/>
            <w:tcBorders>
              <w:top w:val="single" w:sz="4" w:space="0" w:color="auto"/>
              <w:left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r w:rsidRPr="00041A40">
              <w:rPr>
                <w:rFonts w:eastAsia="Times New Roman" w:cs="Times New Roman"/>
                <w:sz w:val="22"/>
                <w:szCs w:val="22"/>
                <w:lang w:eastAsia="en-US"/>
              </w:rPr>
              <w:t>Министерство экономики Республики Армения</w:t>
            </w:r>
          </w:p>
        </w:tc>
      </w:tr>
      <w:tr w:rsidR="00041A40" w:rsidRPr="00041A40" w:rsidTr="00CD6560">
        <w:tc>
          <w:tcPr>
            <w:tcW w:w="3180" w:type="dxa"/>
            <w:tcBorders>
              <w:left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r w:rsidRPr="00041A40">
              <w:rPr>
                <w:rFonts w:eastAsia="Times New Roman" w:cs="Times New Roman"/>
                <w:sz w:val="22"/>
                <w:szCs w:val="22"/>
                <w:lang w:eastAsia="en-US"/>
              </w:rPr>
              <w:t>Беларусь</w:t>
            </w:r>
          </w:p>
        </w:tc>
        <w:tc>
          <w:tcPr>
            <w:tcW w:w="1920" w:type="dxa"/>
            <w:tcBorders>
              <w:left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BY</w:t>
            </w:r>
          </w:p>
        </w:tc>
        <w:tc>
          <w:tcPr>
            <w:tcW w:w="4680" w:type="dxa"/>
            <w:tcBorders>
              <w:left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r w:rsidRPr="00041A40">
              <w:rPr>
                <w:rFonts w:eastAsia="Times New Roman" w:cs="Times New Roman"/>
                <w:sz w:val="22"/>
                <w:szCs w:val="22"/>
                <w:lang w:eastAsia="en-US"/>
              </w:rPr>
              <w:t>Госстандарт Республики Беларусь</w:t>
            </w:r>
          </w:p>
        </w:tc>
      </w:tr>
      <w:tr w:rsidR="00041A40" w:rsidRPr="00041A40" w:rsidTr="00CD6560">
        <w:tc>
          <w:tcPr>
            <w:tcW w:w="3180" w:type="dxa"/>
            <w:tcBorders>
              <w:left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r w:rsidRPr="00041A40">
              <w:rPr>
                <w:rFonts w:eastAsia="Times New Roman" w:cs="Times New Roman"/>
                <w:sz w:val="22"/>
                <w:szCs w:val="22"/>
                <w:lang w:eastAsia="en-US"/>
              </w:rPr>
              <w:t>Кыргызстан</w:t>
            </w:r>
          </w:p>
        </w:tc>
        <w:tc>
          <w:tcPr>
            <w:tcW w:w="1920" w:type="dxa"/>
            <w:tcBorders>
              <w:left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KG</w:t>
            </w:r>
          </w:p>
        </w:tc>
        <w:tc>
          <w:tcPr>
            <w:tcW w:w="4680" w:type="dxa"/>
            <w:tcBorders>
              <w:left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r w:rsidRPr="00041A40">
              <w:rPr>
                <w:rFonts w:eastAsia="Times New Roman" w:cs="Times New Roman"/>
                <w:sz w:val="22"/>
                <w:szCs w:val="22"/>
                <w:lang w:eastAsia="en-US"/>
              </w:rPr>
              <w:t>Кыргызстандарт</w:t>
            </w:r>
          </w:p>
        </w:tc>
      </w:tr>
      <w:tr w:rsidR="00041A40" w:rsidRPr="00041A40" w:rsidTr="00CD6560">
        <w:tc>
          <w:tcPr>
            <w:tcW w:w="3180" w:type="dxa"/>
            <w:tcBorders>
              <w:left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r w:rsidRPr="00041A40">
              <w:rPr>
                <w:rFonts w:eastAsia="Times New Roman" w:cs="Times New Roman"/>
                <w:sz w:val="22"/>
                <w:szCs w:val="22"/>
                <w:lang w:eastAsia="en-US"/>
              </w:rPr>
              <w:t>Российская Федерация</w:t>
            </w:r>
          </w:p>
        </w:tc>
        <w:tc>
          <w:tcPr>
            <w:tcW w:w="1920" w:type="dxa"/>
            <w:tcBorders>
              <w:left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RU</w:t>
            </w:r>
          </w:p>
        </w:tc>
        <w:tc>
          <w:tcPr>
            <w:tcW w:w="4680" w:type="dxa"/>
            <w:tcBorders>
              <w:left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r w:rsidRPr="00041A40">
              <w:rPr>
                <w:rFonts w:eastAsia="Times New Roman" w:cs="Times New Roman"/>
                <w:sz w:val="22"/>
                <w:szCs w:val="22"/>
                <w:lang w:eastAsia="en-US"/>
              </w:rPr>
              <w:t>Росстандарт</w:t>
            </w:r>
          </w:p>
        </w:tc>
      </w:tr>
      <w:tr w:rsidR="00041A40" w:rsidRPr="00041A40" w:rsidTr="00CD6560">
        <w:tc>
          <w:tcPr>
            <w:tcW w:w="3180" w:type="dxa"/>
            <w:tcBorders>
              <w:left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r w:rsidRPr="00041A40">
              <w:rPr>
                <w:rFonts w:eastAsia="Times New Roman" w:cs="Times New Roman"/>
                <w:sz w:val="22"/>
                <w:szCs w:val="22"/>
                <w:lang w:eastAsia="en-US"/>
              </w:rPr>
              <w:t>Таджикистан</w:t>
            </w:r>
          </w:p>
        </w:tc>
        <w:tc>
          <w:tcPr>
            <w:tcW w:w="1920" w:type="dxa"/>
            <w:tcBorders>
              <w:left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TJ</w:t>
            </w:r>
          </w:p>
        </w:tc>
        <w:tc>
          <w:tcPr>
            <w:tcW w:w="4680" w:type="dxa"/>
            <w:tcBorders>
              <w:left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r w:rsidRPr="00041A40">
              <w:rPr>
                <w:rFonts w:eastAsia="Times New Roman" w:cs="Times New Roman"/>
                <w:sz w:val="22"/>
                <w:szCs w:val="22"/>
                <w:lang w:eastAsia="en-US"/>
              </w:rPr>
              <w:t>Таджикстандарт</w:t>
            </w:r>
          </w:p>
        </w:tc>
      </w:tr>
      <w:tr w:rsidR="00041A40" w:rsidRPr="00041A40" w:rsidTr="00CD6560">
        <w:tc>
          <w:tcPr>
            <w:tcW w:w="3180" w:type="dxa"/>
            <w:tcBorders>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r w:rsidRPr="00041A40">
              <w:rPr>
                <w:rFonts w:eastAsia="Times New Roman" w:cs="Times New Roman"/>
                <w:sz w:val="22"/>
                <w:szCs w:val="22"/>
                <w:lang w:eastAsia="en-US"/>
              </w:rPr>
              <w:t>Узбекистан</w:t>
            </w:r>
          </w:p>
        </w:tc>
        <w:tc>
          <w:tcPr>
            <w:tcW w:w="1920" w:type="dxa"/>
            <w:tcBorders>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UZ</w:t>
            </w:r>
          </w:p>
        </w:tc>
        <w:tc>
          <w:tcPr>
            <w:tcW w:w="4680" w:type="dxa"/>
            <w:tcBorders>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r w:rsidRPr="00041A40">
              <w:rPr>
                <w:rFonts w:eastAsia="Times New Roman" w:cs="Times New Roman"/>
                <w:sz w:val="22"/>
                <w:szCs w:val="22"/>
                <w:lang w:eastAsia="en-US"/>
              </w:rPr>
              <w:t>Агентство "Узстандарт"</w:t>
            </w:r>
          </w:p>
        </w:tc>
      </w:tr>
    </w:tbl>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sectPr w:rsidR="00041A40" w:rsidRPr="00041A40">
          <w:pgSz w:w="16838" w:h="11905" w:orient="landscape"/>
          <w:pgMar w:top="1701" w:right="1134" w:bottom="850" w:left="1134" w:header="720" w:footer="720" w:gutter="0"/>
          <w:cols w:space="720"/>
          <w:noEndnote/>
        </w:sect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4. </w:t>
      </w:r>
      <w:hyperlink r:id="rId10" w:history="1">
        <w:r w:rsidRPr="00041A40">
          <w:rPr>
            <w:rFonts w:eastAsia="Times New Roman" w:cs="Times New Roman"/>
            <w:color w:val="0000FF"/>
            <w:sz w:val="22"/>
            <w:szCs w:val="22"/>
            <w:lang w:eastAsia="en-US"/>
          </w:rPr>
          <w:t>Приказом</w:t>
        </w:r>
      </w:hyperlink>
      <w:r w:rsidRPr="00041A40">
        <w:rPr>
          <w:rFonts w:eastAsia="Times New Roman" w:cs="Times New Roman"/>
          <w:sz w:val="22"/>
          <w:szCs w:val="22"/>
          <w:lang w:eastAsia="en-US"/>
        </w:rPr>
        <w:t xml:space="preserve"> Федерального агентства по техническому регулированию и метрологии от 22 июля 2013 г. N 400-ст межгосударственный стандарт ГОСТ 32144-2013 введен в действие в качестве национального стандарта Российской Федерации с 1 июля 2014 г.</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5. Настоящий стандарт соответствует европейскому региональному стандарту EN 50160:2010. Voltage characteristics of electricity supplied by public distribution networks (Характеристики напряжения электричества, поставляемого общественными распределительными сетями).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Степень соответствия - неэквивалентная (NEQ).</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Стандарт разработан на основе применения </w:t>
      </w:r>
      <w:hyperlink r:id="rId11" w:history="1">
        <w:r w:rsidRPr="00041A40">
          <w:rPr>
            <w:rFonts w:eastAsia="Times New Roman" w:cs="Times New Roman"/>
            <w:color w:val="0000FF"/>
            <w:sz w:val="22"/>
            <w:szCs w:val="22"/>
            <w:lang w:eastAsia="en-US"/>
          </w:rPr>
          <w:t>ГОСТ Р 54149-2010</w:t>
        </w:r>
      </w:hyperlink>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5. Введен впервые.</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Информация об изменениях к настоящему стандарту публикуется в ежегодном информационном указателе "Национальные стандарты", а текст изменений и поправок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ежемесячном информационном указателе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национального органа Российской Федерации по стандартизации в сети Интернет.</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outlineLvl w:val="1"/>
        <w:rPr>
          <w:rFonts w:eastAsia="Times New Roman" w:cs="Times New Roman"/>
          <w:sz w:val="22"/>
          <w:szCs w:val="22"/>
          <w:lang w:eastAsia="en-US"/>
        </w:rPr>
      </w:pPr>
      <w:bookmarkStart w:id="4" w:name="Par71"/>
      <w:bookmarkEnd w:id="4"/>
      <w:r w:rsidRPr="00041A40">
        <w:rPr>
          <w:rFonts w:eastAsia="Times New Roman" w:cs="Times New Roman"/>
          <w:sz w:val="22"/>
          <w:szCs w:val="22"/>
          <w:lang w:eastAsia="en-US"/>
        </w:rPr>
        <w:t>1. Область применения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Настоящий стандарт устанавливает показатели и нормы качества электрической энергии (КЭ) в точках передачи электрической энергии пользователям электрических сетей низкого, среднего и высокого напряжения систем электроснабжения общего назначения переменного тока частотой 50 Гц.</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Примечание. Определения низкого, среднего и высокого напряжений приведены в </w:t>
      </w:r>
      <w:hyperlink w:anchor="Par114" w:history="1">
        <w:r w:rsidRPr="00041A40">
          <w:rPr>
            <w:rFonts w:eastAsia="Times New Roman" w:cs="Times New Roman"/>
            <w:color w:val="0000FF"/>
            <w:sz w:val="22"/>
            <w:szCs w:val="22"/>
            <w:lang w:eastAsia="en-US"/>
          </w:rPr>
          <w:t>3.1.11</w:t>
        </w:r>
      </w:hyperlink>
      <w:r w:rsidRPr="00041A40">
        <w:rPr>
          <w:rFonts w:eastAsia="Times New Roman" w:cs="Times New Roman"/>
          <w:sz w:val="22"/>
          <w:szCs w:val="22"/>
          <w:lang w:eastAsia="en-US"/>
        </w:rPr>
        <w:t xml:space="preserve"> - </w:t>
      </w:r>
      <w:hyperlink w:anchor="Par116" w:history="1">
        <w:r w:rsidRPr="00041A40">
          <w:rPr>
            <w:rFonts w:eastAsia="Times New Roman" w:cs="Times New Roman"/>
            <w:color w:val="0000FF"/>
            <w:sz w:val="22"/>
            <w:szCs w:val="22"/>
            <w:lang w:eastAsia="en-US"/>
          </w:rPr>
          <w:t>3.1.13</w:t>
        </w:r>
      </w:hyperlink>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Требования настоящего стандарта применяют при установлении норм КЭ в электрических сетях:</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систем электроснабжения общего назначения, присоединенных к Единой энергетической системе;</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изолированных систем электроснабжения общего назначения.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Требования настоящего стандарта применяют во всех режимах работы систем электроснабжения общего назначения, кроме режимов, обусловленных:</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обстоятельствами непреодолимой силы: землетрясениями, наводнениями, ураганами, пожарами, гражданскими беспорядками, военными действиями;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опубликованием нормативно-правовых актов органов власти, устанавливающих правила временного энергоснабжения;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введением временного электроснабжения пользователей электрических сетей в целях устранения неисправностей или выполнения работ по минимизации зоны и длительности отсутствия электроснабжения.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Настоящий стандарт предназначен для применения при установлении и нормировании показателей КЭ, связанных с характеристиками напряжения электропитания, относящимися к частоте, значениям и форме напряжения, а также к симметрии напряжений в трехфазных системах электроснабжения. Данные характеристики напряжения подвержены изменениям из-за изменений нагрузки, влияния кондуктивных электромагнитных помех, создаваемых отдельными видами оборудования, и возникновения неисправностей, вызываемых, главным образом, внешними событиями. В результате возникают случайные изменения характеристик напряжения во времени в любой отдельной точке передачи электрической энергии пользователю электрической сети, а также случайные отклонения характеристик напряжения в различных точках передачи электрической энергии в конкретный момент времени.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Учитывая непредсказуемость ряда явлений, влияющих на напряжение, не представляется возможным установить определенные допустимые границы значений для соответствующих характеристик напряжения. Поэтому изменения характеристик напряжения, связанные с такими явлениями, как например, провалы и прерывания напряжения, перенапряжения и импульсные напряжения в настоящем стандарте не нормируются. При заключении договоров на поставку или передачу электрической энергии следует учитывать статистические данные, относящиеся к таким характеристикам.</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Нормы КЭ, установленные в настоящем стандарте, не рассматривают в качестве уровней электромагнитной совместимости для кондуктивных электромагнитных помех и предельных значений кондуктивных электромагнитных помех, создаваемых оборудованием электроустановок потребителей электрической энергии в системах электроснабжения общего назначения.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Нормы КЭ в электрических сетях, находящихся в собственности потребителей электрической энергии, должны соответствовать нормам КЭ, установленным настоящим стандартом.</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Методы измерения показателей КЭ, применяемые в соответствии с настоящим стандартом, установлены в ГОСТ 30804.4.30 и ГОСТ 30804.4.7.</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outlineLvl w:val="1"/>
        <w:rPr>
          <w:rFonts w:eastAsia="Times New Roman" w:cs="Times New Roman"/>
          <w:sz w:val="22"/>
          <w:szCs w:val="22"/>
          <w:lang w:eastAsia="en-US"/>
        </w:rPr>
      </w:pPr>
      <w:bookmarkStart w:id="5" w:name="Par89"/>
      <w:bookmarkEnd w:id="5"/>
      <w:r w:rsidRPr="00041A40">
        <w:rPr>
          <w:rFonts w:eastAsia="Times New Roman" w:cs="Times New Roman"/>
          <w:sz w:val="22"/>
          <w:szCs w:val="22"/>
          <w:lang w:eastAsia="en-US"/>
        </w:rPr>
        <w:t>2. Нормативные ссылки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В настоящем стандарте использованы нормативные ссылки на </w:t>
      </w:r>
      <w:hyperlink w:anchor="Par804" w:history="1">
        <w:r w:rsidRPr="00041A40">
          <w:rPr>
            <w:rFonts w:eastAsia="Times New Roman" w:cs="Times New Roman"/>
            <w:color w:val="0000FF"/>
            <w:sz w:val="22"/>
            <w:szCs w:val="22"/>
            <w:lang w:eastAsia="en-US"/>
          </w:rPr>
          <w:t>[1]</w:t>
        </w:r>
      </w:hyperlink>
      <w:r w:rsidRPr="00041A40">
        <w:rPr>
          <w:rFonts w:eastAsia="Times New Roman" w:cs="Times New Roman"/>
          <w:sz w:val="22"/>
          <w:szCs w:val="22"/>
          <w:lang w:eastAsia="en-US"/>
        </w:rPr>
        <w:t xml:space="preserve"> </w:t>
      </w:r>
      <w:hyperlink w:anchor="Par98" w:history="1">
        <w:r w:rsidRPr="00041A40">
          <w:rPr>
            <w:rFonts w:eastAsia="Times New Roman" w:cs="Times New Roman"/>
            <w:color w:val="0000FF"/>
            <w:sz w:val="22"/>
            <w:szCs w:val="22"/>
            <w:lang w:eastAsia="en-US"/>
          </w:rPr>
          <w:t>&lt;1&gt;</w:t>
        </w:r>
      </w:hyperlink>
      <w:r w:rsidRPr="00041A40">
        <w:rPr>
          <w:rFonts w:eastAsia="Times New Roman" w:cs="Times New Roman"/>
          <w:sz w:val="22"/>
          <w:szCs w:val="22"/>
          <w:lang w:eastAsia="en-US"/>
        </w:rPr>
        <w:t xml:space="preserve"> и следующие стандарты:</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ГОСТ 29322-92. Стандартные 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ГОСТ 30804.4.30-2013 (IEC 61000-4-30:2008). Электрическая энергия. Совместимость технических средств электромагнитная. Методы измерений показателей качества электрической энергии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ГОСТ 30804.4.7-2013 (IEC 61000-4-7:2009). Совместимость технических средств электромагнитная. Общее руководство по средствам измерений и измерениям гармоник и интергармоник для систем электроснабжения и подключаемых к ним технических средств</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ГОСТ 30804.3.3-2013 (МЭК 61000-3-3:2008). Совместимость технических средств электромагнитная. Ограничение изменений напряжения, колебаний напряжения и фликера в низковольтных системах электроснабжения общего назначения. Технические средства с номинальным током не более 16 А (в одной фазе), подключаемые к электрической сети при несоблюдении определенных условий подключения. Нормы и методы испытаний.</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Примечание. 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ссылочный стандарт заменен (изменен), то при пользовании настоящим стандартом следует руководствоваться заменяющим (измененным) стандартом. Если ссылочный стандарт отменен без замены, то положение, в котором дана ссылка на него, применяется в части, не затрагивающей эту ссылку.</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bookmarkStart w:id="6" w:name="Par98"/>
      <w:bookmarkEnd w:id="6"/>
      <w:r w:rsidRPr="00041A40">
        <w:rPr>
          <w:rFonts w:eastAsia="Times New Roman" w:cs="Times New Roman"/>
          <w:sz w:val="22"/>
          <w:szCs w:val="22"/>
          <w:lang w:eastAsia="en-US"/>
        </w:rPr>
        <w:t>&lt;1&gt; На территории Российской Федерации действует ГОСТ Р 51317.4.15-2012 (МЭК 61000-4-15:2010).</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outlineLvl w:val="1"/>
        <w:rPr>
          <w:rFonts w:eastAsia="Times New Roman" w:cs="Times New Roman"/>
          <w:sz w:val="22"/>
          <w:szCs w:val="22"/>
          <w:lang w:eastAsia="en-US"/>
        </w:rPr>
      </w:pPr>
      <w:bookmarkStart w:id="7" w:name="Par100"/>
      <w:bookmarkEnd w:id="7"/>
      <w:r w:rsidRPr="00041A40">
        <w:rPr>
          <w:rFonts w:eastAsia="Times New Roman" w:cs="Times New Roman"/>
          <w:sz w:val="22"/>
          <w:szCs w:val="22"/>
          <w:lang w:eastAsia="en-US"/>
        </w:rPr>
        <w:t>3. Термины, определения и обозначения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outlineLvl w:val="2"/>
        <w:rPr>
          <w:rFonts w:eastAsia="Times New Roman" w:cs="Times New Roman"/>
          <w:sz w:val="22"/>
          <w:szCs w:val="22"/>
          <w:lang w:eastAsia="en-US"/>
        </w:rPr>
      </w:pPr>
      <w:bookmarkStart w:id="8" w:name="Par102"/>
      <w:bookmarkEnd w:id="8"/>
      <w:r w:rsidRPr="00041A40">
        <w:rPr>
          <w:rFonts w:eastAsia="Times New Roman" w:cs="Times New Roman"/>
          <w:sz w:val="22"/>
          <w:szCs w:val="22"/>
          <w:lang w:eastAsia="en-US"/>
        </w:rPr>
        <w:t>3.1. Термины и определения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В настоящем стандарте применены следующие термины с соответствующими определениями: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3.1.1. Система электроснабжения общего назначения: совокупность электроустановок и электрических устройств, предназначенных для обеспечения электрической энергией различных потребителей электрических сетей.</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3.1.2. Пользователь электрической сети: сторона, получающая электрическую энергию от электрической сети либо передающая электрическую энергию в электрическую сеть. К пользователям электрических сетей относят сетевые организации и иных владельцев электрических сетей, потребителей электрической энергии, а также генерирующие организации.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3.1.3. Распределительная электрическая сеть: совокупность электроустановок для передачи и распределения электрической энергии между пользователями электрической сети, состоящая из подстанций, распределительных устройств, токопроводов, воздушных и кабельных линий электропередачи, работающих на определенной территории.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3.1.4. Сетевая организация: организация, владеющая на праве собственности или на ином установленном законами основании объектами электросетевого хозяйства, с использованием которых оказывающая услуги по передаче электрической энергии и осуществляющая в установленном порядке технологическое присоединение энергопринимающих устройств (энергетических установок) юридических и физических лиц к электрическим сетям, а также осуществляющая право заключения договоров об оказании услуг по передаче электрической энергии с использованием объектов электросетевого хозяйства, принадлежащих другим собственникам и иным законным владельцам и не входящих в единую национальную электрическую сеть.</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3.1.5. Потребитель электрической энергии: юридическое или физическое лицо, осуществляющее пользование электрической энергией (мощностью) на основании заключенного договора.</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3.1.6. Точка передачи электрической энергии: точка электрической сети, находящаяся на линии раздела объектов электроэнергетики между владельцами по признаку собственности или владения на ином предусмотренном законами основании, определенная в процессе технологического присоединения.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3.1.7. Точка общего присоединения: электрически ближайшая к конкретной нагрузке пользователя сети точка, к которой присоединены нагрузки других пользователей сети.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3.1.8. Номинальное напряжение: напряжение, для которого предназначена или идентифицирована электрическая сеть, и применительно к которому устанавливают ее рабочие характеристики.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3.1.9. Напряжение электропитания: среднеквадратическое значение напряжения в определенный момент времени в точке передачи электрической энергии пользователю электрической сети, измеряемое в течение установленного интервала времени.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3.1.10. Согласованное напряжение электропитания </w:t>
      </w:r>
      <w:r>
        <w:rPr>
          <w:rFonts w:eastAsia="Times New Roman" w:cs="Times New Roman"/>
          <w:noProof/>
          <w:position w:val="-12"/>
          <w:sz w:val="22"/>
          <w:szCs w:val="22"/>
        </w:rPr>
        <w:drawing>
          <wp:inline distT="0" distB="0" distL="0" distR="0">
            <wp:extent cx="219075" cy="257175"/>
            <wp:effectExtent l="0" t="0" r="9525" b="9525"/>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075" cy="257175"/>
                    </a:xfrm>
                    <a:prstGeom prst="rect">
                      <a:avLst/>
                    </a:prstGeom>
                    <a:noFill/>
                    <a:ln>
                      <a:noFill/>
                    </a:ln>
                  </pic:spPr>
                </pic:pic>
              </a:graphicData>
            </a:graphic>
          </wp:inline>
        </w:drawing>
      </w:r>
      <w:r w:rsidRPr="00041A40">
        <w:rPr>
          <w:rFonts w:eastAsia="Times New Roman" w:cs="Times New Roman"/>
          <w:sz w:val="22"/>
          <w:szCs w:val="22"/>
          <w:lang w:eastAsia="en-US"/>
        </w:rPr>
        <w:t>: напряжение, отличающееся от стандартного номинального напряжения электрической сети по ГОСТ 29322, согласованное для конкретного пользователя электрической сети при технологическом присоединении в качестве напряжения электропитания.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bookmarkStart w:id="9" w:name="Par114"/>
      <w:bookmarkEnd w:id="9"/>
      <w:r w:rsidRPr="00041A40">
        <w:rPr>
          <w:rFonts w:eastAsia="Times New Roman" w:cs="Times New Roman"/>
          <w:sz w:val="22"/>
          <w:szCs w:val="22"/>
          <w:lang w:eastAsia="en-US"/>
        </w:rPr>
        <w:t>3.1.11. Низкое напряжение: напряжение, номинальное среднеквадратическое значение которого не превышает 1 кВ.</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3.1.12. Среднее напряжение: напряжение, номинальное среднеквадратическое значение которого превышает 1 кВ, но не превышает 35 кВ.</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bookmarkStart w:id="10" w:name="Par116"/>
      <w:bookmarkEnd w:id="10"/>
      <w:r w:rsidRPr="00041A40">
        <w:rPr>
          <w:rFonts w:eastAsia="Times New Roman" w:cs="Times New Roman"/>
          <w:sz w:val="22"/>
          <w:szCs w:val="22"/>
          <w:lang w:eastAsia="en-US"/>
        </w:rPr>
        <w:t>3.1.13. Высокое напряжение: напряжение, номинальное среднеквадратическое значение которого превышает 35 кВ, но не превышает 220 кВ.</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3.1.14. Частота напряжения электропитания: частота повторения колебаний основной гармоники напряжения электропитания, измеряемая в течение установленного интервала времени.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3.1.15. Номинальная частота: номинальное значение частоты напряжения электропитания.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3.1.16. Кондуктивная электромагнитная помеха: электромагнитная помеха, распространяющаяся по проводникам электрической сети. В некоторых случаях электромагнитная помеха распространятся через обмотки трансформаторов и может действовать в электрических сетях с разными значениями напряжения. Кондуктивные электромагнитные помехи могут ухудшить качество функционирования устройств, электроустановок или систем или вызвать их повреждение.</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3.1.17. Уровень электромагнитной совместимости в системе электроснабжения: регламентированный уровень кондуктивной электромагнитной помехи, используемый в качестве опорного для координации между допустимым уровнем помех, вносимым техническими средствами пользователей электрических сетей, и уровнем помех, воспринимаемым техническими средствами, подключенными к электрической сети, без нарушения их нормального функционирования.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3.1.18. Напряжение гармонической составляющей: среднеквадратическое значение синусоидального напряжения, частота которого является кратной основной частоте напряжения электропитания.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3.1.19. Напряжение интергармонической составляющей: среднеквадратическое значение синусоидального напряжения, частота которого не является кратной основной частоте напряжения электропитания.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Примечание. Одновременно возникающие интергармонические составляющие на сближенных частотах могут образовать напряжение с широкополосным спектром.</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3.1.20. Напряжение сигналов в электрической сети: напряжение сигналов, добавляемое к напряжению электропитания при передаче информации в распределительных электрических сетях и электроустановках потребителей электрической энергии.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3.1.21. Быстрое изменение напряжения: быстрое изменение среднеквадратического значения напряжения между двумя последовательными уровнями установившегося 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Примечание. См. также ГОСТ 30804.3.3.</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3.1.22. Опорное напряжение (при оценке провалов, прерываний напряжения и перенапряжений): значение напряжения, применяемое в качестве основы при установлении остаточного напряжения, пороговых значений напряжения и других характеристик провалов, прерываний напряжения и перенапряжений, выраженное в вольтах или в процентах номинального 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Примечание. В соответствии с требованиями настоящего стандарта опорное напряжение (при оценке провалов, прерываний напряжения и перенапряжений) считают равным номинальному или согласованному напряжению электропитания.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3.1.23. Прерывание напряжения: ситуация, при которой напряжение в точке передачи электрической энергии меньше 5% опорного 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3.1.24. Импульсное напряжение: перенапряжение, представляющее собой одиночный импульс или колебательный процесс (обычно сильно демпфированный), длительностью до нескольких миллисекунд.</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3.1.25. Провал напряжения: временное уменьшение напряжения в конкретной точке электрической системы ниже установленного порогового значения.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3.1.26. Длительность провала напряжения: интервал времени между моментом, когда напряжение в конкретной точке системы электроснабжения падает ниже порогового значения начала провала напряжения, и моментом, когда напряжение возрастает выше порогового значения окончания провала 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3.1.27. Пороговое значение окончания провала напряжения: среднеквадратическое значение напряжения в системе электроснабжения, установленное для определения окончания провала 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3.1.28. Остаточное напряжение провала напряжения: минимальное среднеквадратическое значение напряжения, отмеченное в течение провала 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Примечание. В соответствии с требованиями настоящего стандарта остаточное напряжение провала напряжения выражают в процентах опорного 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3.1.29. Пороговое значение начала провала напряжения: среднеквадратическое значение напряжения в системе электроснабжения, установленное для определения начала провала 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3.1.30. Перенапряжение: временное возрастание напряжения в конкретной точке электрической системы выше установленного порогового значения.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3.1.31. Длительность перенапряжения: интервал времени между моментом, когда напряжение в конкретной точке системы электроснабжения возрастает выше порогового значения начала перенапряжения, и моментом, когда напряжение падает ниже порогового значения окончания перенапряжения.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3.1.32. Пороговое значение окончания перенапряжения: среднеквадратическое значение напряжения в системе электроснабжения, установленное для определения окончания перенапряжения.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3.1.33. Пороговое значение начала перенапряжения: среднеквадратическое значение напряжения в системе электроснабжения, установленное для определения начала перенапряжения.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3.1.34. Фликер: ощущение неустойчивости зрительного восприятия, вызванное световым источником, яркость или спектральный состав которого изменяются во времени.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3.1.35. Среднеквадратическое значение: корень квадратный из среднеарифметического значения квадратов мгновенных значений величины, измеренных в течение установленного интервала времени и в установленной полосе частот.</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3.1.36. Усреднение по времени: усреднение нескольких последовательных значений конкретного показателя КЭ, измеренных на одинаковых интервалах времени, для получения значения показателя при большем интервале времени.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Примечание. В ГОСТ 30804.4.30 применен термин "объединение по времени".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3.1.37. Маркированные данные: термин, применяемый для обозначения результатов измерений показателей КЭ и результатов их усреднения на временных интервалах, в пределах которых имели место прерывания, провалы напряжения или перенапряжения.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Примечания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1. При оценке соответствия электрической энергии нормам КЭ, установленным в настоящем стандарте, маркированные данные не учитывают.</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2. В ряде случаев сведения о маркировании результатов измерений показателей КЭ могут учитываться при анализе качества электрической энергии (см. ГОСТ 30804.4.30).</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3.1.38. Качество электрической энергии (КЭ): степень соответствия характеристик электрической энергии в данной точке электрической системы совокупности нормированных показателей КЭ.</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3.1.39. Несимметрия напряжений: состояние трехфазной системы энергоснабжения переменного тока, в которой среднеквадратические значения основных составляющих междуфазных напряжений или углы сдвига фаз между основными составляющими междуфазных напряжений не равны между собой.</w:t>
      </w:r>
    </w:p>
    <w:p w:rsidR="00041A40" w:rsidRPr="00041A40" w:rsidRDefault="00041A40" w:rsidP="00041A40">
      <w:pPr>
        <w:widowControl w:val="0"/>
        <w:autoSpaceDE w:val="0"/>
        <w:autoSpaceDN w:val="0"/>
        <w:adjustRightInd w:val="0"/>
        <w:ind w:firstLine="540"/>
        <w:outlineLvl w:val="2"/>
        <w:rPr>
          <w:rFonts w:eastAsia="Times New Roman" w:cs="Times New Roman"/>
          <w:sz w:val="22"/>
          <w:szCs w:val="22"/>
          <w:lang w:eastAsia="en-US"/>
        </w:rPr>
      </w:pPr>
      <w:bookmarkStart w:id="11" w:name="Par157"/>
      <w:bookmarkEnd w:id="11"/>
      <w:r w:rsidRPr="00041A40">
        <w:rPr>
          <w:rFonts w:eastAsia="Times New Roman" w:cs="Times New Roman"/>
          <w:sz w:val="22"/>
          <w:szCs w:val="22"/>
          <w:lang w:eastAsia="en-US"/>
        </w:rPr>
        <w:t>3.2. Обозначения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В настоящем стандарте приняты следующие обозначения: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Pr>
          <w:rFonts w:eastAsia="Times New Roman" w:cs="Times New Roman"/>
          <w:noProof/>
          <w:position w:val="-12"/>
          <w:sz w:val="22"/>
          <w:szCs w:val="22"/>
        </w:rPr>
        <w:drawing>
          <wp:inline distT="0" distB="0" distL="0" distR="0">
            <wp:extent cx="323850" cy="257175"/>
            <wp:effectExtent l="0" t="0" r="0" b="9525"/>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 номинальное значение частоты электропитания, Гц;</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Pr>
          <w:rFonts w:eastAsia="Times New Roman" w:cs="Times New Roman"/>
          <w:noProof/>
          <w:position w:val="-10"/>
          <w:sz w:val="22"/>
          <w:szCs w:val="22"/>
        </w:rPr>
        <w:drawing>
          <wp:inline distT="0" distB="0" distL="0" distR="0">
            <wp:extent cx="228600" cy="219075"/>
            <wp:effectExtent l="0" t="0" r="0" b="9525"/>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sidRPr="00041A40">
        <w:rPr>
          <w:rFonts w:eastAsia="Times New Roman" w:cs="Times New Roman"/>
          <w:sz w:val="22"/>
          <w:szCs w:val="22"/>
          <w:lang w:eastAsia="en-US"/>
        </w:rPr>
        <w:t xml:space="preserve"> - отклонение частоты, Гц;</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Pr>
          <w:rFonts w:eastAsia="Times New Roman" w:cs="Times New Roman"/>
          <w:noProof/>
          <w:position w:val="-12"/>
          <w:sz w:val="22"/>
          <w:szCs w:val="22"/>
        </w:rPr>
        <w:drawing>
          <wp:inline distT="0" distB="0" distL="0" distR="0">
            <wp:extent cx="361950" cy="257175"/>
            <wp:effectExtent l="0" t="0" r="0" b="9525"/>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1950"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 номинальное напряжение электропитания, В, кВ;</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Pr>
          <w:rFonts w:eastAsia="Times New Roman" w:cs="Times New Roman"/>
          <w:noProof/>
          <w:position w:val="-12"/>
          <w:sz w:val="22"/>
          <w:szCs w:val="22"/>
        </w:rPr>
        <w:drawing>
          <wp:inline distT="0" distB="0" distL="0" distR="0">
            <wp:extent cx="219075" cy="257175"/>
            <wp:effectExtent l="0" t="0" r="9525" b="9525"/>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907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 согласованное напряжение электропитания, В, кВ;</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Pr>
          <w:rFonts w:eastAsia="Times New Roman" w:cs="Times New Roman"/>
          <w:noProof/>
          <w:position w:val="-12"/>
          <w:sz w:val="22"/>
          <w:szCs w:val="22"/>
        </w:rPr>
        <w:drawing>
          <wp:inline distT="0" distB="0" distL="0" distR="0">
            <wp:extent cx="219075" cy="257175"/>
            <wp:effectExtent l="0" t="0" r="9525" b="9525"/>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907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 напряжение, равное номинальному или согласованному напряжению электропитания, В, кВ;</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Pr>
          <w:rFonts w:eastAsia="Times New Roman" w:cs="Times New Roman"/>
          <w:noProof/>
          <w:position w:val="-14"/>
          <w:sz w:val="22"/>
          <w:szCs w:val="22"/>
        </w:rPr>
        <w:drawing>
          <wp:inline distT="0" distB="0" distL="0" distR="0">
            <wp:extent cx="409575" cy="266700"/>
            <wp:effectExtent l="0" t="0" r="9525"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9575" cy="266700"/>
                    </a:xfrm>
                    <a:prstGeom prst="rect">
                      <a:avLst/>
                    </a:prstGeom>
                    <a:noFill/>
                    <a:ln>
                      <a:noFill/>
                    </a:ln>
                  </pic:spPr>
                </pic:pic>
              </a:graphicData>
            </a:graphic>
          </wp:inline>
        </w:drawing>
      </w:r>
      <w:r w:rsidRPr="00041A40">
        <w:rPr>
          <w:rFonts w:eastAsia="Times New Roman" w:cs="Times New Roman"/>
          <w:sz w:val="22"/>
          <w:szCs w:val="22"/>
          <w:lang w:eastAsia="en-US"/>
        </w:rPr>
        <w:t xml:space="preserve"> - отрицательное отклонение напряжения электропитания, % </w:t>
      </w:r>
      <w:r>
        <w:rPr>
          <w:rFonts w:eastAsia="Times New Roman" w:cs="Times New Roman"/>
          <w:noProof/>
          <w:position w:val="-12"/>
          <w:sz w:val="22"/>
          <w:szCs w:val="22"/>
        </w:rPr>
        <w:drawing>
          <wp:inline distT="0" distB="0" distL="0" distR="0">
            <wp:extent cx="219075" cy="257175"/>
            <wp:effectExtent l="0" t="0" r="9525" b="9525"/>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9075" cy="257175"/>
                    </a:xfrm>
                    <a:prstGeom prst="rect">
                      <a:avLst/>
                    </a:prstGeom>
                    <a:noFill/>
                    <a:ln>
                      <a:noFill/>
                    </a:ln>
                  </pic:spPr>
                </pic:pic>
              </a:graphicData>
            </a:graphic>
          </wp:inline>
        </w:drawing>
      </w:r>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Pr>
          <w:rFonts w:eastAsia="Times New Roman" w:cs="Times New Roman"/>
          <w:noProof/>
          <w:position w:val="-14"/>
          <w:sz w:val="22"/>
          <w:szCs w:val="22"/>
        </w:rPr>
        <w:drawing>
          <wp:inline distT="0" distB="0" distL="0" distR="0">
            <wp:extent cx="409575" cy="266700"/>
            <wp:effectExtent l="0" t="0" r="9525"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9575" cy="266700"/>
                    </a:xfrm>
                    <a:prstGeom prst="rect">
                      <a:avLst/>
                    </a:prstGeom>
                    <a:noFill/>
                    <a:ln>
                      <a:noFill/>
                    </a:ln>
                  </pic:spPr>
                </pic:pic>
              </a:graphicData>
            </a:graphic>
          </wp:inline>
        </w:drawing>
      </w:r>
      <w:r w:rsidRPr="00041A40">
        <w:rPr>
          <w:rFonts w:eastAsia="Times New Roman" w:cs="Times New Roman"/>
          <w:sz w:val="22"/>
          <w:szCs w:val="22"/>
          <w:lang w:eastAsia="en-US"/>
        </w:rPr>
        <w:t xml:space="preserve"> - положительное отклонение напряжения электропитания, % </w:t>
      </w:r>
      <w:r>
        <w:rPr>
          <w:rFonts w:eastAsia="Times New Roman" w:cs="Times New Roman"/>
          <w:noProof/>
          <w:position w:val="-12"/>
          <w:sz w:val="22"/>
          <w:szCs w:val="22"/>
        </w:rPr>
        <w:drawing>
          <wp:inline distT="0" distB="0" distL="0" distR="0">
            <wp:extent cx="219075" cy="257175"/>
            <wp:effectExtent l="0" t="0" r="9525" b="9525"/>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9075" cy="257175"/>
                    </a:xfrm>
                    <a:prstGeom prst="rect">
                      <a:avLst/>
                    </a:prstGeom>
                    <a:noFill/>
                    <a:ln>
                      <a:noFill/>
                    </a:ln>
                  </pic:spPr>
                </pic:pic>
              </a:graphicData>
            </a:graphic>
          </wp:inline>
        </w:drawing>
      </w:r>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Pr>
          <w:rFonts w:eastAsia="Times New Roman" w:cs="Times New Roman"/>
          <w:noProof/>
          <w:position w:val="-12"/>
          <w:sz w:val="22"/>
          <w:szCs w:val="22"/>
        </w:rPr>
        <w:drawing>
          <wp:inline distT="0" distB="0" distL="0" distR="0">
            <wp:extent cx="209550" cy="257175"/>
            <wp:effectExtent l="0" t="0" r="0" b="9525"/>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9550"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 значение основной гармонической составляющей напряжения, В, кВ;</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Pr>
          <w:rFonts w:eastAsia="Times New Roman" w:cs="Times New Roman"/>
          <w:noProof/>
          <w:position w:val="-14"/>
          <w:sz w:val="22"/>
          <w:szCs w:val="22"/>
        </w:rPr>
        <w:drawing>
          <wp:inline distT="0" distB="0" distL="0" distR="0">
            <wp:extent cx="390525" cy="266700"/>
            <wp:effectExtent l="0" t="0" r="9525"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r w:rsidRPr="00041A40">
        <w:rPr>
          <w:rFonts w:eastAsia="Times New Roman" w:cs="Times New Roman"/>
          <w:sz w:val="22"/>
          <w:szCs w:val="22"/>
          <w:lang w:eastAsia="en-US"/>
        </w:rPr>
        <w:t xml:space="preserve"> - коэффициент n-ой гармонической составляющей напряжения, % </w:t>
      </w:r>
      <w:r>
        <w:rPr>
          <w:rFonts w:eastAsia="Times New Roman" w:cs="Times New Roman"/>
          <w:noProof/>
          <w:position w:val="-12"/>
          <w:sz w:val="22"/>
          <w:szCs w:val="22"/>
        </w:rPr>
        <w:drawing>
          <wp:inline distT="0" distB="0" distL="0" distR="0">
            <wp:extent cx="209550" cy="257175"/>
            <wp:effectExtent l="0" t="0" r="0" b="9525"/>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9550" cy="257175"/>
                    </a:xfrm>
                    <a:prstGeom prst="rect">
                      <a:avLst/>
                    </a:prstGeom>
                    <a:noFill/>
                    <a:ln>
                      <a:noFill/>
                    </a:ln>
                  </pic:spPr>
                </pic:pic>
              </a:graphicData>
            </a:graphic>
          </wp:inline>
        </w:drawing>
      </w:r>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Pr>
          <w:rFonts w:eastAsia="Times New Roman" w:cs="Times New Roman"/>
          <w:noProof/>
          <w:position w:val="-12"/>
          <w:sz w:val="22"/>
          <w:szCs w:val="22"/>
        </w:rPr>
        <w:drawing>
          <wp:inline distT="0" distB="0" distL="0" distR="0">
            <wp:extent cx="257175" cy="257175"/>
            <wp:effectExtent l="0" t="0" r="9525" b="9525"/>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 суммарный коэффициент гармонических составляющих напряжения, %;</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Pr>
          <w:rFonts w:eastAsia="Times New Roman" w:cs="Times New Roman"/>
          <w:noProof/>
          <w:position w:val="-12"/>
          <w:sz w:val="22"/>
          <w:szCs w:val="22"/>
        </w:rPr>
        <w:drawing>
          <wp:inline distT="0" distB="0" distL="0" distR="0">
            <wp:extent cx="314325" cy="257175"/>
            <wp:effectExtent l="0" t="0" r="9525" b="9525"/>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 коэффициент несимметрии напряжений по обратной последовательности, %;</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Pr>
          <w:rFonts w:eastAsia="Times New Roman" w:cs="Times New Roman"/>
          <w:noProof/>
          <w:position w:val="-12"/>
          <w:sz w:val="22"/>
          <w:szCs w:val="22"/>
        </w:rPr>
        <w:drawing>
          <wp:inline distT="0" distB="0" distL="0" distR="0">
            <wp:extent cx="314325" cy="257175"/>
            <wp:effectExtent l="0" t="0" r="9525" b="9525"/>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 коэффициент несимметрии напряжений по нулевой последовательности, %;</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Pr>
          <w:rFonts w:eastAsia="Times New Roman" w:cs="Times New Roman"/>
          <w:noProof/>
          <w:position w:val="-12"/>
          <w:sz w:val="22"/>
          <w:szCs w:val="22"/>
        </w:rPr>
        <w:drawing>
          <wp:inline distT="0" distB="0" distL="0" distR="0">
            <wp:extent cx="266700" cy="257175"/>
            <wp:effectExtent l="0" t="0" r="0" b="9525"/>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 длительность провала напряжения, с;</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Pr>
          <w:rFonts w:eastAsia="Times New Roman" w:cs="Times New Roman"/>
          <w:noProof/>
          <w:position w:val="-14"/>
          <w:sz w:val="22"/>
          <w:szCs w:val="22"/>
        </w:rPr>
        <w:drawing>
          <wp:inline distT="0" distB="0" distL="0" distR="0">
            <wp:extent cx="314325" cy="266700"/>
            <wp:effectExtent l="0" t="0" r="9525"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rsidRPr="00041A40">
        <w:rPr>
          <w:rFonts w:eastAsia="Times New Roman" w:cs="Times New Roman"/>
          <w:sz w:val="22"/>
          <w:szCs w:val="22"/>
          <w:lang w:eastAsia="en-US"/>
        </w:rPr>
        <w:t xml:space="preserve"> - длительность прерывания напряжения, с;</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n - номер гармонической составляющей 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outlineLvl w:val="1"/>
        <w:rPr>
          <w:rFonts w:eastAsia="Times New Roman" w:cs="Times New Roman"/>
          <w:sz w:val="22"/>
          <w:szCs w:val="22"/>
          <w:lang w:eastAsia="en-US"/>
        </w:rPr>
      </w:pPr>
      <w:bookmarkStart w:id="12" w:name="Par175"/>
      <w:bookmarkEnd w:id="12"/>
      <w:r w:rsidRPr="00041A40">
        <w:rPr>
          <w:rFonts w:eastAsia="Times New Roman" w:cs="Times New Roman"/>
          <w:sz w:val="22"/>
          <w:szCs w:val="22"/>
          <w:lang w:eastAsia="en-US"/>
        </w:rPr>
        <w:t>4. Показатели и нормы качества электрической энергии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outlineLvl w:val="2"/>
        <w:rPr>
          <w:rFonts w:eastAsia="Times New Roman" w:cs="Times New Roman"/>
          <w:sz w:val="22"/>
          <w:szCs w:val="22"/>
          <w:lang w:eastAsia="en-US"/>
        </w:rPr>
      </w:pPr>
      <w:bookmarkStart w:id="13" w:name="Par177"/>
      <w:bookmarkEnd w:id="13"/>
      <w:r w:rsidRPr="00041A40">
        <w:rPr>
          <w:rFonts w:eastAsia="Times New Roman" w:cs="Times New Roman"/>
          <w:sz w:val="22"/>
          <w:szCs w:val="22"/>
          <w:lang w:eastAsia="en-US"/>
        </w:rPr>
        <w:t>4.1. Общие положения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Изменения характеристик напряжения электропитания в точке передачи электрической энергии пользователю электрической сети, относящихся к частоте, значениям, форме напряжения и симметрии напряжений в трехфазных системах электроснабжения, подразделяют на две категории - продолжительные изменения характеристик напряжения и случайные события.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Продолжительные изменения характеристик напряжения электропитания представляют собой длительные отклонения характеристик напряжения от номинальных значений и обусловлены в основном изменениями нагрузки или влиянием нелинейных нагрузок.</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Случайные события представляют собой внезапные и значительные изменения формы напряжения, приводящие к отклонению его параметров от номинальных. Данные изменения напряжения, как правило, вызываются непредсказуемыми событиями (например, повреждениями оборудования пользователя электрической сети) или внешними воздействиями (например, погодными условиями или действиями стороны, не являющейся пользователем электрической сети).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Применительно к продолжительным изменениям характеристик напряжения электропитания, относящихся к частоте, значениям, форме напряжения и симметрии напряжений в трехфазных системах, в настоящем стандарте установлены показатели и нормы КЭ.</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Для случайных событий в настоящем стандарте приведены справочные данные (см. </w:t>
      </w:r>
      <w:hyperlink w:anchor="Par462" w:history="1">
        <w:r w:rsidRPr="00041A40">
          <w:rPr>
            <w:rFonts w:eastAsia="Times New Roman" w:cs="Times New Roman"/>
            <w:color w:val="0000FF"/>
            <w:sz w:val="22"/>
            <w:szCs w:val="22"/>
            <w:lang w:eastAsia="en-US"/>
          </w:rPr>
          <w:t>Приложения А</w:t>
        </w:r>
      </w:hyperlink>
      <w:r w:rsidRPr="00041A40">
        <w:rPr>
          <w:rFonts w:eastAsia="Times New Roman" w:cs="Times New Roman"/>
          <w:sz w:val="22"/>
          <w:szCs w:val="22"/>
          <w:lang w:eastAsia="en-US"/>
        </w:rPr>
        <w:t xml:space="preserve">, </w:t>
      </w:r>
      <w:hyperlink w:anchor="Par644" w:history="1">
        <w:r w:rsidRPr="00041A40">
          <w:rPr>
            <w:rFonts w:eastAsia="Times New Roman" w:cs="Times New Roman"/>
            <w:color w:val="0000FF"/>
            <w:sz w:val="22"/>
            <w:szCs w:val="22"/>
            <w:lang w:eastAsia="en-US"/>
          </w:rPr>
          <w:t>Б</w:t>
        </w:r>
      </w:hyperlink>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540"/>
        <w:outlineLvl w:val="2"/>
        <w:rPr>
          <w:rFonts w:eastAsia="Times New Roman" w:cs="Times New Roman"/>
          <w:sz w:val="22"/>
          <w:szCs w:val="22"/>
          <w:lang w:eastAsia="en-US"/>
        </w:rPr>
      </w:pPr>
      <w:bookmarkStart w:id="14" w:name="Par183"/>
      <w:bookmarkEnd w:id="14"/>
      <w:r w:rsidRPr="00041A40">
        <w:rPr>
          <w:rFonts w:eastAsia="Times New Roman" w:cs="Times New Roman"/>
          <w:sz w:val="22"/>
          <w:szCs w:val="22"/>
          <w:lang w:eastAsia="en-US"/>
        </w:rPr>
        <w:t>4.2. Продолжительные изменения характеристик напряжения</w:t>
      </w:r>
    </w:p>
    <w:p w:rsidR="00041A40" w:rsidRPr="00041A40" w:rsidRDefault="00041A40" w:rsidP="00041A40">
      <w:pPr>
        <w:widowControl w:val="0"/>
        <w:autoSpaceDE w:val="0"/>
        <w:autoSpaceDN w:val="0"/>
        <w:adjustRightInd w:val="0"/>
        <w:ind w:firstLine="540"/>
        <w:outlineLvl w:val="3"/>
        <w:rPr>
          <w:rFonts w:eastAsia="Times New Roman" w:cs="Times New Roman"/>
          <w:sz w:val="22"/>
          <w:szCs w:val="22"/>
          <w:lang w:eastAsia="en-US"/>
        </w:rPr>
      </w:pPr>
      <w:bookmarkStart w:id="15" w:name="Par184"/>
      <w:bookmarkEnd w:id="15"/>
      <w:r w:rsidRPr="00041A40">
        <w:rPr>
          <w:rFonts w:eastAsia="Times New Roman" w:cs="Times New Roman"/>
          <w:sz w:val="22"/>
          <w:szCs w:val="22"/>
          <w:lang w:eastAsia="en-US"/>
        </w:rPr>
        <w:t>4.2.1. Отклонение частоты</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Показателем КЭ, относящимся к частоте, является отклонение значения основной частоты напряжения электропитания от номинального значения </w:t>
      </w:r>
      <w:r>
        <w:rPr>
          <w:rFonts w:eastAsia="Times New Roman" w:cs="Times New Roman"/>
          <w:noProof/>
          <w:position w:val="-10"/>
          <w:sz w:val="22"/>
          <w:szCs w:val="22"/>
        </w:rPr>
        <w:drawing>
          <wp:inline distT="0" distB="0" distL="0" distR="0">
            <wp:extent cx="228600" cy="219075"/>
            <wp:effectExtent l="0" t="0" r="0" b="9525"/>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sidRPr="00041A40">
        <w:rPr>
          <w:rFonts w:eastAsia="Times New Roman" w:cs="Times New Roman"/>
          <w:sz w:val="22"/>
          <w:szCs w:val="22"/>
          <w:lang w:eastAsia="en-US"/>
        </w:rPr>
        <w:t>, Гц</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position w:val="-12"/>
          <w:sz w:val="22"/>
          <w:szCs w:val="22"/>
        </w:rPr>
        <w:drawing>
          <wp:inline distT="0" distB="0" distL="0" distR="0">
            <wp:extent cx="990600" cy="257175"/>
            <wp:effectExtent l="0" t="0" r="0" b="9525"/>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90600" cy="257175"/>
                    </a:xfrm>
                    <a:prstGeom prst="rect">
                      <a:avLst/>
                    </a:prstGeom>
                    <a:noFill/>
                    <a:ln>
                      <a:noFill/>
                    </a:ln>
                  </pic:spPr>
                </pic:pic>
              </a:graphicData>
            </a:graphic>
          </wp:inline>
        </w:drawing>
      </w:r>
      <w:r w:rsidRPr="00041A40">
        <w:rPr>
          <w:rFonts w:eastAsia="Times New Roman" w:cs="Times New Roman"/>
          <w:sz w:val="22"/>
          <w:szCs w:val="22"/>
          <w:lang w:eastAsia="en-US"/>
        </w:rPr>
        <w:t>, (1)</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где </w:t>
      </w:r>
      <w:r>
        <w:rPr>
          <w:rFonts w:eastAsia="Times New Roman" w:cs="Times New Roman"/>
          <w:noProof/>
          <w:position w:val="-12"/>
          <w:sz w:val="22"/>
          <w:szCs w:val="22"/>
        </w:rPr>
        <w:drawing>
          <wp:inline distT="0" distB="0" distL="0" distR="0">
            <wp:extent cx="209550" cy="257175"/>
            <wp:effectExtent l="0" t="0" r="0" b="9525"/>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9550"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 значение основной частоты напряжения электропитания, Гц, измеренное в интервале времени 10 с в соответствии с требованиями ГОСТ 30804.4.30, подраздел 5.1;</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Pr>
          <w:rFonts w:eastAsia="Times New Roman" w:cs="Times New Roman"/>
          <w:noProof/>
          <w:position w:val="-12"/>
          <w:sz w:val="22"/>
          <w:szCs w:val="22"/>
        </w:rPr>
        <w:drawing>
          <wp:inline distT="0" distB="0" distL="0" distR="0">
            <wp:extent cx="323850" cy="257175"/>
            <wp:effectExtent l="0" t="0" r="0" b="9525"/>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 номинальное значение частоты напряжения электропитания, Гц.</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Номинальное значение частоты напряжения электропитания в электрической сети равно 50 Гц.</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Для указанного показателя КЭ установлены следующие нормы:</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отклонение частоты в синхронизированных системах электроснабжения не должно превышать +/- 0,2 Гц в течение 95% времени интервала в одну неделю и +/- 0,4 Гц в течение 100% времени интервала в одну неделю;</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отклонение частоты в изолированных системах электроснабжения с автономными генераторными установками, не подключенных к синхронизированным системам передачи электрической энергии, не должно превышать +/- 1 Гц в течение 95% времени интервала в одну неделю и +/- 5 Гц в течение 100% времени интервала в одну неделю.</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При оценке соответствия электрической энергии нормам КЭ, относящимся к частоте, установленным в настоящем стандарте, должны быть проведены измерения по ГОСТ 30804.4.30, класс A, при этом маркированные данные не учитывают.</w:t>
      </w:r>
    </w:p>
    <w:p w:rsidR="00041A40" w:rsidRPr="00041A40" w:rsidRDefault="00041A40" w:rsidP="00041A40">
      <w:pPr>
        <w:widowControl w:val="0"/>
        <w:autoSpaceDE w:val="0"/>
        <w:autoSpaceDN w:val="0"/>
        <w:adjustRightInd w:val="0"/>
        <w:ind w:firstLine="540"/>
        <w:outlineLvl w:val="3"/>
        <w:rPr>
          <w:rFonts w:eastAsia="Times New Roman" w:cs="Times New Roman"/>
          <w:sz w:val="22"/>
          <w:szCs w:val="22"/>
          <w:lang w:eastAsia="en-US"/>
        </w:rPr>
      </w:pPr>
      <w:bookmarkStart w:id="16" w:name="Par196"/>
      <w:bookmarkEnd w:id="16"/>
      <w:r w:rsidRPr="00041A40">
        <w:rPr>
          <w:rFonts w:eastAsia="Times New Roman" w:cs="Times New Roman"/>
          <w:sz w:val="22"/>
          <w:szCs w:val="22"/>
          <w:lang w:eastAsia="en-US"/>
        </w:rPr>
        <w:t>4.2.2. Медленные изменения 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Медленные изменения напряжения электропитания (как правило, продолжительностью более 1 мин) обусловлены обычно изменениями нагрузки электрической сети.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Показателями КЭ, относящимися к медленным изменениям напряжения электропитания, являются отрицательное </w:t>
      </w:r>
      <w:r>
        <w:rPr>
          <w:rFonts w:eastAsia="Times New Roman" w:cs="Times New Roman"/>
          <w:noProof/>
          <w:position w:val="-14"/>
          <w:sz w:val="22"/>
          <w:szCs w:val="22"/>
        </w:rPr>
        <w:drawing>
          <wp:inline distT="0" distB="0" distL="0" distR="0">
            <wp:extent cx="409575" cy="266700"/>
            <wp:effectExtent l="0" t="0" r="9525"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9575" cy="266700"/>
                    </a:xfrm>
                    <a:prstGeom prst="rect">
                      <a:avLst/>
                    </a:prstGeom>
                    <a:noFill/>
                    <a:ln>
                      <a:noFill/>
                    </a:ln>
                  </pic:spPr>
                </pic:pic>
              </a:graphicData>
            </a:graphic>
          </wp:inline>
        </w:drawing>
      </w:r>
      <w:r w:rsidRPr="00041A40">
        <w:rPr>
          <w:rFonts w:eastAsia="Times New Roman" w:cs="Times New Roman"/>
          <w:sz w:val="22"/>
          <w:szCs w:val="22"/>
          <w:lang w:eastAsia="en-US"/>
        </w:rPr>
        <w:t xml:space="preserve"> и положительное </w:t>
      </w:r>
      <w:r>
        <w:rPr>
          <w:rFonts w:eastAsia="Times New Roman" w:cs="Times New Roman"/>
          <w:noProof/>
          <w:position w:val="-14"/>
          <w:sz w:val="22"/>
          <w:szCs w:val="22"/>
        </w:rPr>
        <w:drawing>
          <wp:inline distT="0" distB="0" distL="0" distR="0">
            <wp:extent cx="409575" cy="266700"/>
            <wp:effectExtent l="0" t="0" r="9525"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9575" cy="266700"/>
                    </a:xfrm>
                    <a:prstGeom prst="rect">
                      <a:avLst/>
                    </a:prstGeom>
                    <a:noFill/>
                    <a:ln>
                      <a:noFill/>
                    </a:ln>
                  </pic:spPr>
                </pic:pic>
              </a:graphicData>
            </a:graphic>
          </wp:inline>
        </w:drawing>
      </w:r>
      <w:r w:rsidRPr="00041A40">
        <w:rPr>
          <w:rFonts w:eastAsia="Times New Roman" w:cs="Times New Roman"/>
          <w:sz w:val="22"/>
          <w:szCs w:val="22"/>
          <w:lang w:eastAsia="en-US"/>
        </w:rPr>
        <w:t xml:space="preserve"> отклонения напряжения электропитания в точке передачи электрической энергии от номинального/согласованного значения, %:</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position w:val="-18"/>
          <w:sz w:val="22"/>
          <w:szCs w:val="22"/>
        </w:rPr>
        <w:drawing>
          <wp:inline distT="0" distB="0" distL="0" distR="0">
            <wp:extent cx="2038350" cy="333375"/>
            <wp:effectExtent l="0" t="0" r="0" b="9525"/>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38350" cy="333375"/>
                    </a:xfrm>
                    <a:prstGeom prst="rect">
                      <a:avLst/>
                    </a:prstGeom>
                    <a:noFill/>
                    <a:ln>
                      <a:noFill/>
                    </a:ln>
                  </pic:spPr>
                </pic:pic>
              </a:graphicData>
            </a:graphic>
          </wp:inline>
        </w:drawing>
      </w:r>
      <w:r w:rsidRPr="00041A40">
        <w:rPr>
          <w:rFonts w:eastAsia="Times New Roman" w:cs="Times New Roman"/>
          <w:sz w:val="22"/>
          <w:szCs w:val="22"/>
          <w:lang w:eastAsia="en-US"/>
        </w:rPr>
        <w:t>; (2)</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position w:val="-18"/>
          <w:sz w:val="22"/>
          <w:szCs w:val="22"/>
        </w:rPr>
        <w:drawing>
          <wp:inline distT="0" distB="0" distL="0" distR="0">
            <wp:extent cx="2038350" cy="333375"/>
            <wp:effectExtent l="0" t="0" r="0" b="9525"/>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38350" cy="333375"/>
                    </a:xfrm>
                    <a:prstGeom prst="rect">
                      <a:avLst/>
                    </a:prstGeom>
                    <a:noFill/>
                    <a:ln>
                      <a:noFill/>
                    </a:ln>
                  </pic:spPr>
                </pic:pic>
              </a:graphicData>
            </a:graphic>
          </wp:inline>
        </w:drawing>
      </w:r>
      <w:r w:rsidRPr="00041A40">
        <w:rPr>
          <w:rFonts w:eastAsia="Times New Roman" w:cs="Times New Roman"/>
          <w:sz w:val="22"/>
          <w:szCs w:val="22"/>
          <w:lang w:eastAsia="en-US"/>
        </w:rPr>
        <w:t>, (3)</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где </w:t>
      </w:r>
      <w:r>
        <w:rPr>
          <w:rFonts w:eastAsia="Times New Roman" w:cs="Times New Roman"/>
          <w:noProof/>
          <w:position w:val="-14"/>
          <w:sz w:val="22"/>
          <w:szCs w:val="22"/>
        </w:rPr>
        <w:drawing>
          <wp:inline distT="0" distB="0" distL="0" distR="0">
            <wp:extent cx="381000" cy="266700"/>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81000" cy="266700"/>
                    </a:xfrm>
                    <a:prstGeom prst="rect">
                      <a:avLst/>
                    </a:prstGeom>
                    <a:noFill/>
                    <a:ln>
                      <a:noFill/>
                    </a:ln>
                  </pic:spPr>
                </pic:pic>
              </a:graphicData>
            </a:graphic>
          </wp:inline>
        </w:drawing>
      </w:r>
      <w:r w:rsidRPr="00041A40">
        <w:rPr>
          <w:rFonts w:eastAsia="Times New Roman" w:cs="Times New Roman"/>
          <w:sz w:val="22"/>
          <w:szCs w:val="22"/>
          <w:lang w:eastAsia="en-US"/>
        </w:rPr>
        <w:t xml:space="preserve">, </w:t>
      </w:r>
      <w:r>
        <w:rPr>
          <w:rFonts w:eastAsia="Times New Roman" w:cs="Times New Roman"/>
          <w:noProof/>
          <w:position w:val="-14"/>
          <w:sz w:val="22"/>
          <w:szCs w:val="22"/>
        </w:rPr>
        <w:drawing>
          <wp:inline distT="0" distB="0" distL="0" distR="0">
            <wp:extent cx="390525" cy="266700"/>
            <wp:effectExtent l="0" t="0" r="9525"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r w:rsidRPr="00041A40">
        <w:rPr>
          <w:rFonts w:eastAsia="Times New Roman" w:cs="Times New Roman"/>
          <w:sz w:val="22"/>
          <w:szCs w:val="22"/>
          <w:lang w:eastAsia="en-US"/>
        </w:rPr>
        <w:t xml:space="preserve"> - значения напряжения электропитания, меньшие </w:t>
      </w:r>
      <w:r>
        <w:rPr>
          <w:rFonts w:eastAsia="Times New Roman" w:cs="Times New Roman"/>
          <w:noProof/>
          <w:position w:val="-12"/>
          <w:sz w:val="22"/>
          <w:szCs w:val="22"/>
        </w:rPr>
        <w:drawing>
          <wp:inline distT="0" distB="0" distL="0" distR="0">
            <wp:extent cx="219075" cy="257175"/>
            <wp:effectExtent l="0" t="0" r="9525" b="9525"/>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907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и большие </w:t>
      </w:r>
      <w:r>
        <w:rPr>
          <w:rFonts w:eastAsia="Times New Roman" w:cs="Times New Roman"/>
          <w:noProof/>
          <w:position w:val="-12"/>
          <w:sz w:val="22"/>
          <w:szCs w:val="22"/>
        </w:rPr>
        <w:drawing>
          <wp:inline distT="0" distB="0" distL="0" distR="0">
            <wp:extent cx="219075" cy="257175"/>
            <wp:effectExtent l="0" t="0" r="9525" b="9525"/>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1907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соответственно, усредненные в интервале времени 10 мин в соответствии с требованиями ГОСТ 30804.4.30, подраздел 5.12;</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Pr>
          <w:rFonts w:eastAsia="Times New Roman" w:cs="Times New Roman"/>
          <w:noProof/>
          <w:position w:val="-12"/>
          <w:sz w:val="22"/>
          <w:szCs w:val="22"/>
        </w:rPr>
        <w:drawing>
          <wp:inline distT="0" distB="0" distL="0" distR="0">
            <wp:extent cx="219075" cy="257175"/>
            <wp:effectExtent l="0" t="0" r="9525" b="9525"/>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1907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 напряжение, равное стандартному номинальному напряжению </w:t>
      </w:r>
      <w:r>
        <w:rPr>
          <w:rFonts w:eastAsia="Times New Roman" w:cs="Times New Roman"/>
          <w:noProof/>
          <w:position w:val="-12"/>
          <w:sz w:val="22"/>
          <w:szCs w:val="22"/>
        </w:rPr>
        <w:drawing>
          <wp:inline distT="0" distB="0" distL="0" distR="0">
            <wp:extent cx="361950" cy="257175"/>
            <wp:effectExtent l="0" t="0" r="0" b="9525"/>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1950"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или согласованному напряжению </w:t>
      </w:r>
      <w:r>
        <w:rPr>
          <w:rFonts w:eastAsia="Times New Roman" w:cs="Times New Roman"/>
          <w:noProof/>
          <w:position w:val="-12"/>
          <w:sz w:val="22"/>
          <w:szCs w:val="22"/>
        </w:rPr>
        <w:drawing>
          <wp:inline distT="0" distB="0" distL="0" distR="0">
            <wp:extent cx="219075" cy="257175"/>
            <wp:effectExtent l="0" t="0" r="9525" b="9525"/>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19075" cy="257175"/>
                    </a:xfrm>
                    <a:prstGeom prst="rect">
                      <a:avLst/>
                    </a:prstGeom>
                    <a:noFill/>
                    <a:ln>
                      <a:noFill/>
                    </a:ln>
                  </pic:spPr>
                </pic:pic>
              </a:graphicData>
            </a:graphic>
          </wp:inline>
        </w:drawing>
      </w:r>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В электрических сетях низкого напряжения стандартное номинальное напряжение электропитания </w:t>
      </w:r>
      <w:r>
        <w:rPr>
          <w:rFonts w:eastAsia="Times New Roman" w:cs="Times New Roman"/>
          <w:noProof/>
          <w:position w:val="-12"/>
          <w:sz w:val="22"/>
          <w:szCs w:val="22"/>
        </w:rPr>
        <w:drawing>
          <wp:inline distT="0" distB="0" distL="0" distR="0">
            <wp:extent cx="361950" cy="257175"/>
            <wp:effectExtent l="0" t="0" r="0" b="9525"/>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1950"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равно 220 В (между фазным и нейтральным проводниками для однофазных и четырехпроводных трехфазных систем) и 380 В (между фазными проводниками для трех- и четырехпроводных трехфазных систем).</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В электрических сетях среднего и высокого напряжений вместо значения номинального напряжения электропитания принимают согласованное напряжение электропитания </w:t>
      </w:r>
      <w:r>
        <w:rPr>
          <w:rFonts w:eastAsia="Times New Roman" w:cs="Times New Roman"/>
          <w:noProof/>
          <w:position w:val="-12"/>
          <w:sz w:val="22"/>
          <w:szCs w:val="22"/>
        </w:rPr>
        <w:drawing>
          <wp:inline distT="0" distB="0" distL="0" distR="0">
            <wp:extent cx="219075" cy="257175"/>
            <wp:effectExtent l="0" t="0" r="9525" b="9525"/>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19075" cy="257175"/>
                    </a:xfrm>
                    <a:prstGeom prst="rect">
                      <a:avLst/>
                    </a:prstGeom>
                    <a:noFill/>
                    <a:ln>
                      <a:noFill/>
                    </a:ln>
                  </pic:spPr>
                </pic:pic>
              </a:graphicData>
            </a:graphic>
          </wp:inline>
        </w:drawing>
      </w:r>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Для указанных выше показателей КЭ установлены следующие нормы: положительные и отрицательные отклонения напряжения в точке передачи электрической энергии не должны превышать 10% номинального или согласованного значения напряжения в течение 100% времени интервала в одну неделю.</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Примечание. Установленные нормы медленных изменений напряжения электропитания относятся к 1008 интервалам времени измерений по 10 минут каждый.</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Допустимые значения положительного и отрицательного отклонений напряжения в точках общего присоединения должны быть установлены сетевой организацией с учетом необходимости выполнения норм настоящего стандарта в точках передачи электрической энергии.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В электрической сети потребителя должны быть обеспечены условия, при которых отклонения напряжения питания на зажимах электроприемников не превышают установленных для них допустимых значений при выполнении требований настоящего стандарта к КЭ в точке передачи электрической энергии.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При оценке соответствия электрической энергии нормам КЭ, относящимся к медленным изменениям напряжения, установленным в настоящем стандарте, должны быть проведены измерения по ГОСТ 30804.4.30, подраздел 5.12, класс A, при этом маркированные данные не учитываются.</w:t>
      </w:r>
    </w:p>
    <w:p w:rsidR="00041A40" w:rsidRPr="00041A40" w:rsidRDefault="00041A40" w:rsidP="00041A40">
      <w:pPr>
        <w:widowControl w:val="0"/>
        <w:autoSpaceDE w:val="0"/>
        <w:autoSpaceDN w:val="0"/>
        <w:adjustRightInd w:val="0"/>
        <w:ind w:firstLine="540"/>
        <w:outlineLvl w:val="3"/>
        <w:rPr>
          <w:rFonts w:eastAsia="Times New Roman" w:cs="Times New Roman"/>
          <w:sz w:val="22"/>
          <w:szCs w:val="22"/>
          <w:lang w:eastAsia="en-US"/>
        </w:rPr>
      </w:pPr>
      <w:bookmarkStart w:id="17" w:name="Par214"/>
      <w:bookmarkEnd w:id="17"/>
      <w:r w:rsidRPr="00041A40">
        <w:rPr>
          <w:rFonts w:eastAsia="Times New Roman" w:cs="Times New Roman"/>
          <w:sz w:val="22"/>
          <w:szCs w:val="22"/>
          <w:lang w:eastAsia="en-US"/>
        </w:rPr>
        <w:t>4.2.3. Колебания напряжения и фликер</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Колебания напряжения электропитания (как правило, продолжительностью менее 1 мин), в том числе одиночные быстрые изменения напряжения, обусловливают возникновение фликера.</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Показателями КЭ, относящимися к колебаниям напряжения, являются кратковременная доза фликера </w:t>
      </w:r>
      <w:r>
        <w:rPr>
          <w:rFonts w:eastAsia="Times New Roman" w:cs="Times New Roman"/>
          <w:noProof/>
          <w:position w:val="-12"/>
          <w:sz w:val="22"/>
          <w:szCs w:val="22"/>
        </w:rPr>
        <w:drawing>
          <wp:inline distT="0" distB="0" distL="0" distR="0">
            <wp:extent cx="209550" cy="257175"/>
            <wp:effectExtent l="0" t="0" r="0" b="9525"/>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09550"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измеренная в интервале времени 10 мин, и длительная доза фликера </w:t>
      </w:r>
      <w:r>
        <w:rPr>
          <w:rFonts w:eastAsia="Times New Roman" w:cs="Times New Roman"/>
          <w:noProof/>
          <w:position w:val="-12"/>
          <w:sz w:val="22"/>
          <w:szCs w:val="22"/>
        </w:rPr>
        <w:drawing>
          <wp:inline distT="0" distB="0" distL="0" distR="0">
            <wp:extent cx="200025" cy="257175"/>
            <wp:effectExtent l="0" t="0" r="9525" b="9525"/>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r w:rsidRPr="00041A40">
        <w:rPr>
          <w:rFonts w:eastAsia="Times New Roman" w:cs="Times New Roman"/>
          <w:sz w:val="22"/>
          <w:szCs w:val="22"/>
          <w:lang w:eastAsia="en-US"/>
        </w:rPr>
        <w:t>, измеренная в интервале времени 2 ч, в точке передачи электрической энергии.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Для указанных показателей КЭ установлены следующие нормы:</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кратковременная доза фликера </w:t>
      </w:r>
      <w:r>
        <w:rPr>
          <w:rFonts w:eastAsia="Times New Roman" w:cs="Times New Roman"/>
          <w:noProof/>
          <w:position w:val="-12"/>
          <w:sz w:val="22"/>
          <w:szCs w:val="22"/>
        </w:rPr>
        <w:drawing>
          <wp:inline distT="0" distB="0" distL="0" distR="0">
            <wp:extent cx="209550" cy="257175"/>
            <wp:effectExtent l="0" t="0" r="0" b="9525"/>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09550"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не должна превышать значения 1,38,</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длительная доза фликера </w:t>
      </w:r>
      <w:r>
        <w:rPr>
          <w:rFonts w:eastAsia="Times New Roman" w:cs="Times New Roman"/>
          <w:noProof/>
          <w:position w:val="-12"/>
          <w:sz w:val="22"/>
          <w:szCs w:val="22"/>
        </w:rPr>
        <w:drawing>
          <wp:inline distT="0" distB="0" distL="0" distR="0">
            <wp:extent cx="200025" cy="257175"/>
            <wp:effectExtent l="0" t="0" r="9525" b="9525"/>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не должна превышать значения 1,0</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в течение 100% времени интервала в одну неделю.</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При оценке соответствия электрической энергии нормам КЭ, относящимся к колебаниям напряжения, установленным в настоящем стандарте, должны быть проведены измерения по </w:t>
      </w:r>
      <w:hyperlink w:anchor="Par804" w:history="1">
        <w:r w:rsidRPr="00041A40">
          <w:rPr>
            <w:rFonts w:eastAsia="Times New Roman" w:cs="Times New Roman"/>
            <w:color w:val="0000FF"/>
            <w:sz w:val="22"/>
            <w:szCs w:val="22"/>
            <w:lang w:eastAsia="en-US"/>
          </w:rPr>
          <w:t>[1]</w:t>
        </w:r>
      </w:hyperlink>
      <w:r w:rsidRPr="00041A40">
        <w:rPr>
          <w:rFonts w:eastAsia="Times New Roman" w:cs="Times New Roman"/>
          <w:sz w:val="22"/>
          <w:szCs w:val="22"/>
          <w:lang w:eastAsia="en-US"/>
        </w:rPr>
        <w:t>, при этом маркированные данные не учитывают.</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4.2.3.1. Одиночные быстрые изменения 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Одиночные быстрые изменения напряжения вызываются в основном резкими изменениями нагрузки в электроустановках потребителей, переключениями в системе либо неисправностями и характеризуются быстрым переходом среднеквадратического значения напряжения от одного установившегося значения к другому.</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Обычно одиночные быстрые изменения напряжения не превышают 5% в электрических сетях низкого напряжения и 4% - в электрических сетях среднего напряжения, но иногда изменения напряжения с малой продолжительностью до 10% </w:t>
      </w:r>
      <w:r>
        <w:rPr>
          <w:rFonts w:eastAsia="Times New Roman" w:cs="Times New Roman"/>
          <w:noProof/>
          <w:position w:val="-12"/>
          <w:sz w:val="22"/>
          <w:szCs w:val="22"/>
        </w:rPr>
        <w:drawing>
          <wp:inline distT="0" distB="0" distL="0" distR="0">
            <wp:extent cx="361950" cy="257175"/>
            <wp:effectExtent l="0" t="0" r="0" b="9525"/>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1950"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и до 6% </w:t>
      </w:r>
      <w:r>
        <w:rPr>
          <w:rFonts w:eastAsia="Times New Roman" w:cs="Times New Roman"/>
          <w:noProof/>
          <w:position w:val="-12"/>
          <w:sz w:val="22"/>
          <w:szCs w:val="22"/>
        </w:rPr>
        <w:drawing>
          <wp:inline distT="0" distB="0" distL="0" distR="0">
            <wp:extent cx="219075" cy="257175"/>
            <wp:effectExtent l="0" t="0" r="9525" b="9525"/>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1907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соответственно могут происходить несколько раз в день.</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Если напряжение во время изменения пересекает пороговое значение начала провала напряжения или перенапряжения, одиночное быстрое изменение напряжения классифицируют как провал напряжения или перенапряжение.</w:t>
      </w:r>
    </w:p>
    <w:p w:rsidR="00041A40" w:rsidRPr="00041A40" w:rsidRDefault="00041A40" w:rsidP="00041A40">
      <w:pPr>
        <w:widowControl w:val="0"/>
        <w:autoSpaceDE w:val="0"/>
        <w:autoSpaceDN w:val="0"/>
        <w:adjustRightInd w:val="0"/>
        <w:ind w:firstLine="540"/>
        <w:outlineLvl w:val="3"/>
        <w:rPr>
          <w:rFonts w:eastAsia="Times New Roman" w:cs="Times New Roman"/>
          <w:sz w:val="22"/>
          <w:szCs w:val="22"/>
          <w:lang w:eastAsia="en-US"/>
        </w:rPr>
      </w:pPr>
      <w:bookmarkStart w:id="18" w:name="Par226"/>
      <w:bookmarkEnd w:id="18"/>
      <w:r w:rsidRPr="00041A40">
        <w:rPr>
          <w:rFonts w:eastAsia="Times New Roman" w:cs="Times New Roman"/>
          <w:sz w:val="22"/>
          <w:szCs w:val="22"/>
          <w:lang w:eastAsia="en-US"/>
        </w:rPr>
        <w:t>4.2.4. Несинусоидальность 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4.2.4.1. Гармонические составляющие 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Гармонические составляющие напряжения обусловлены, как правило, нелинейными нагрузками пользователей электрических сетей, подключаемыми к электрическим сетям различного напряжения. Гармонические токи, протекающие в электрических сетях, создают падения напряжений на полных сопротивлениях электрических сетей. Гармонические токи, полные сопротивления электрических сетей и, следовательно, напряжения гармонических составляющих в точках передачи электрической энергии изменяются во времени.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Показателями КЭ, относящимися к гармоническим составляющим напряжения являются: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 значения коэффициентов гармонических составляющих напряжения до 40-го порядка </w:t>
      </w:r>
      <w:r>
        <w:rPr>
          <w:rFonts w:eastAsia="Times New Roman" w:cs="Times New Roman"/>
          <w:noProof/>
          <w:position w:val="-14"/>
          <w:sz w:val="22"/>
          <w:szCs w:val="22"/>
        </w:rPr>
        <w:drawing>
          <wp:inline distT="0" distB="0" distL="0" distR="0">
            <wp:extent cx="390525" cy="266700"/>
            <wp:effectExtent l="0" t="0" r="9525"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r w:rsidRPr="00041A40">
        <w:rPr>
          <w:rFonts w:eastAsia="Times New Roman" w:cs="Times New Roman"/>
          <w:sz w:val="22"/>
          <w:szCs w:val="22"/>
          <w:lang w:eastAsia="en-US"/>
        </w:rPr>
        <w:t xml:space="preserve"> в процентах напряжения основной гармонической составляющей </w:t>
      </w:r>
      <w:r>
        <w:rPr>
          <w:rFonts w:eastAsia="Times New Roman" w:cs="Times New Roman"/>
          <w:noProof/>
          <w:position w:val="-12"/>
          <w:sz w:val="22"/>
          <w:szCs w:val="22"/>
        </w:rPr>
        <w:drawing>
          <wp:inline distT="0" distB="0" distL="0" distR="0">
            <wp:extent cx="209550" cy="257175"/>
            <wp:effectExtent l="0" t="0" r="0" b="9525"/>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09550"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в точке передачи электрической энергии;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 значение суммарного коэффициента гармонических составляющих напряжения (отношения среднеквадратического значения суммы всех гармонических составляющих до 40-го порядка к среднеквадратическому значению основной составляющей) </w:t>
      </w:r>
      <w:r>
        <w:rPr>
          <w:rFonts w:eastAsia="Times New Roman" w:cs="Times New Roman"/>
          <w:noProof/>
          <w:position w:val="-12"/>
          <w:sz w:val="22"/>
          <w:szCs w:val="22"/>
        </w:rPr>
        <w:drawing>
          <wp:inline distT="0" distB="0" distL="0" distR="0">
            <wp:extent cx="257175" cy="257175"/>
            <wp:effectExtent l="0" t="0" r="9525" b="9525"/>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041A40">
        <w:rPr>
          <w:rFonts w:eastAsia="Times New Roman" w:cs="Times New Roman"/>
          <w:sz w:val="22"/>
          <w:szCs w:val="22"/>
          <w:lang w:eastAsia="en-US"/>
        </w:rPr>
        <w:t>, % в точке передачи электрической энергии.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Для указанных показателей КЭ установлены следующие нормы:</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bookmarkStart w:id="19" w:name="Par233"/>
      <w:bookmarkEnd w:id="19"/>
      <w:r w:rsidRPr="00041A40">
        <w:rPr>
          <w:rFonts w:eastAsia="Times New Roman" w:cs="Times New Roman"/>
          <w:sz w:val="22"/>
          <w:szCs w:val="22"/>
          <w:lang w:eastAsia="en-US"/>
        </w:rPr>
        <w:t xml:space="preserve">а) значения коэффициентов гармонических составляющих напряжения </w:t>
      </w:r>
      <w:r>
        <w:rPr>
          <w:rFonts w:eastAsia="Times New Roman" w:cs="Times New Roman"/>
          <w:noProof/>
          <w:position w:val="-14"/>
          <w:sz w:val="22"/>
          <w:szCs w:val="22"/>
        </w:rPr>
        <w:drawing>
          <wp:inline distT="0" distB="0" distL="0" distR="0">
            <wp:extent cx="390525" cy="266700"/>
            <wp:effectExtent l="0" t="0" r="9525"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r w:rsidRPr="00041A40">
        <w:rPr>
          <w:rFonts w:eastAsia="Times New Roman" w:cs="Times New Roman"/>
          <w:sz w:val="22"/>
          <w:szCs w:val="22"/>
          <w:lang w:eastAsia="en-US"/>
        </w:rPr>
        <w:t xml:space="preserve">, усредненные в интервале времени 10 мин, не должны превышать значений, установленных в </w:t>
      </w:r>
      <w:hyperlink w:anchor="Par240" w:history="1">
        <w:r w:rsidRPr="00041A40">
          <w:rPr>
            <w:rFonts w:eastAsia="Times New Roman" w:cs="Times New Roman"/>
            <w:color w:val="0000FF"/>
            <w:sz w:val="22"/>
            <w:szCs w:val="22"/>
            <w:lang w:eastAsia="en-US"/>
          </w:rPr>
          <w:t>таблицах 1</w:t>
        </w:r>
      </w:hyperlink>
      <w:r w:rsidRPr="00041A40">
        <w:rPr>
          <w:rFonts w:eastAsia="Times New Roman" w:cs="Times New Roman"/>
          <w:sz w:val="22"/>
          <w:szCs w:val="22"/>
          <w:lang w:eastAsia="en-US"/>
        </w:rPr>
        <w:t xml:space="preserve"> - </w:t>
      </w:r>
      <w:hyperlink w:anchor="Par338" w:history="1">
        <w:r w:rsidRPr="00041A40">
          <w:rPr>
            <w:rFonts w:eastAsia="Times New Roman" w:cs="Times New Roman"/>
            <w:color w:val="0000FF"/>
            <w:sz w:val="22"/>
            <w:szCs w:val="22"/>
            <w:lang w:eastAsia="en-US"/>
          </w:rPr>
          <w:t>3</w:t>
        </w:r>
      </w:hyperlink>
      <w:r w:rsidRPr="00041A40">
        <w:rPr>
          <w:rFonts w:eastAsia="Times New Roman" w:cs="Times New Roman"/>
          <w:sz w:val="22"/>
          <w:szCs w:val="22"/>
          <w:lang w:eastAsia="en-US"/>
        </w:rPr>
        <w:t>, в течение 95% времени интервала в одну неделю;</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bookmarkStart w:id="20" w:name="Par234"/>
      <w:bookmarkEnd w:id="20"/>
      <w:r w:rsidRPr="00041A40">
        <w:rPr>
          <w:rFonts w:eastAsia="Times New Roman" w:cs="Times New Roman"/>
          <w:sz w:val="22"/>
          <w:szCs w:val="22"/>
          <w:lang w:eastAsia="en-US"/>
        </w:rPr>
        <w:t xml:space="preserve">б) значения коэффициентов гармонических составляющих напряжения </w:t>
      </w:r>
      <w:r>
        <w:rPr>
          <w:rFonts w:eastAsia="Times New Roman" w:cs="Times New Roman"/>
          <w:noProof/>
          <w:position w:val="-14"/>
          <w:sz w:val="22"/>
          <w:szCs w:val="22"/>
        </w:rPr>
        <w:drawing>
          <wp:inline distT="0" distB="0" distL="0" distR="0">
            <wp:extent cx="390525" cy="266700"/>
            <wp:effectExtent l="0" t="0" r="9525"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r w:rsidRPr="00041A40">
        <w:rPr>
          <w:rFonts w:eastAsia="Times New Roman" w:cs="Times New Roman"/>
          <w:sz w:val="22"/>
          <w:szCs w:val="22"/>
          <w:lang w:eastAsia="en-US"/>
        </w:rPr>
        <w:t xml:space="preserve">, усредненные в интервале времени 10 мин, не должны превышать значений, установленных в </w:t>
      </w:r>
      <w:hyperlink w:anchor="Par240" w:history="1">
        <w:r w:rsidRPr="00041A40">
          <w:rPr>
            <w:rFonts w:eastAsia="Times New Roman" w:cs="Times New Roman"/>
            <w:color w:val="0000FF"/>
            <w:sz w:val="22"/>
            <w:szCs w:val="22"/>
            <w:lang w:eastAsia="en-US"/>
          </w:rPr>
          <w:t>таблицах 1</w:t>
        </w:r>
      </w:hyperlink>
      <w:r w:rsidRPr="00041A40">
        <w:rPr>
          <w:rFonts w:eastAsia="Times New Roman" w:cs="Times New Roman"/>
          <w:sz w:val="22"/>
          <w:szCs w:val="22"/>
          <w:lang w:eastAsia="en-US"/>
        </w:rPr>
        <w:t xml:space="preserve"> - </w:t>
      </w:r>
      <w:hyperlink w:anchor="Par338" w:history="1">
        <w:r w:rsidRPr="00041A40">
          <w:rPr>
            <w:rFonts w:eastAsia="Times New Roman" w:cs="Times New Roman"/>
            <w:color w:val="0000FF"/>
            <w:sz w:val="22"/>
            <w:szCs w:val="22"/>
            <w:lang w:eastAsia="en-US"/>
          </w:rPr>
          <w:t>3</w:t>
        </w:r>
      </w:hyperlink>
      <w:r w:rsidRPr="00041A40">
        <w:rPr>
          <w:rFonts w:eastAsia="Times New Roman" w:cs="Times New Roman"/>
          <w:sz w:val="22"/>
          <w:szCs w:val="22"/>
          <w:lang w:eastAsia="en-US"/>
        </w:rPr>
        <w:t>, увеличенных в 1,5 раза, в течение 100% времени каждого периода в одну неделю;</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bookmarkStart w:id="21" w:name="Par235"/>
      <w:bookmarkEnd w:id="21"/>
      <w:r w:rsidRPr="00041A40">
        <w:rPr>
          <w:rFonts w:eastAsia="Times New Roman" w:cs="Times New Roman"/>
          <w:sz w:val="22"/>
          <w:szCs w:val="22"/>
          <w:lang w:eastAsia="en-US"/>
        </w:rPr>
        <w:t xml:space="preserve">в) значения суммарных коэффициентов гармонических составляющих напряжения </w:t>
      </w:r>
      <w:r>
        <w:rPr>
          <w:rFonts w:eastAsia="Times New Roman" w:cs="Times New Roman"/>
          <w:noProof/>
          <w:position w:val="-12"/>
          <w:sz w:val="22"/>
          <w:szCs w:val="22"/>
        </w:rPr>
        <w:drawing>
          <wp:inline distT="0" distB="0" distL="0" distR="0">
            <wp:extent cx="257175" cy="257175"/>
            <wp:effectExtent l="0" t="0" r="9525" b="9525"/>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усредненные в интервале времени 10 мин, не должны превышать значений, установленных в </w:t>
      </w:r>
      <w:hyperlink w:anchor="Par386" w:history="1">
        <w:r w:rsidRPr="00041A40">
          <w:rPr>
            <w:rFonts w:eastAsia="Times New Roman" w:cs="Times New Roman"/>
            <w:color w:val="0000FF"/>
            <w:sz w:val="22"/>
            <w:szCs w:val="22"/>
            <w:lang w:eastAsia="en-US"/>
          </w:rPr>
          <w:t>таблице 4</w:t>
        </w:r>
      </w:hyperlink>
      <w:r w:rsidRPr="00041A40">
        <w:rPr>
          <w:rFonts w:eastAsia="Times New Roman" w:cs="Times New Roman"/>
          <w:sz w:val="22"/>
          <w:szCs w:val="22"/>
          <w:lang w:eastAsia="en-US"/>
        </w:rPr>
        <w:t>, в течение 95% времени интервала в одну неделю;</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bookmarkStart w:id="22" w:name="Par236"/>
      <w:bookmarkEnd w:id="22"/>
      <w:r w:rsidRPr="00041A40">
        <w:rPr>
          <w:rFonts w:eastAsia="Times New Roman" w:cs="Times New Roman"/>
          <w:sz w:val="22"/>
          <w:szCs w:val="22"/>
          <w:lang w:eastAsia="en-US"/>
        </w:rPr>
        <w:t xml:space="preserve">г) значения суммарных коэффициентов гармонических составляющих напряжения </w:t>
      </w:r>
      <w:r>
        <w:rPr>
          <w:rFonts w:eastAsia="Times New Roman" w:cs="Times New Roman"/>
          <w:noProof/>
          <w:position w:val="-12"/>
          <w:sz w:val="22"/>
          <w:szCs w:val="22"/>
        </w:rPr>
        <w:drawing>
          <wp:inline distT="0" distB="0" distL="0" distR="0">
            <wp:extent cx="257175" cy="257175"/>
            <wp:effectExtent l="0" t="0" r="9525" b="9525"/>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усредненные в интервале времени 10 мин, не должны превышать значений, установленных в </w:t>
      </w:r>
      <w:hyperlink w:anchor="Par402" w:history="1">
        <w:r w:rsidRPr="00041A40">
          <w:rPr>
            <w:rFonts w:eastAsia="Times New Roman" w:cs="Times New Roman"/>
            <w:color w:val="0000FF"/>
            <w:sz w:val="22"/>
            <w:szCs w:val="22"/>
            <w:lang w:eastAsia="en-US"/>
          </w:rPr>
          <w:t>таблице 5</w:t>
        </w:r>
      </w:hyperlink>
      <w:r w:rsidRPr="00041A40">
        <w:rPr>
          <w:rFonts w:eastAsia="Times New Roman" w:cs="Times New Roman"/>
          <w:sz w:val="22"/>
          <w:szCs w:val="22"/>
          <w:lang w:eastAsia="en-US"/>
        </w:rPr>
        <w:t>, в течение 100% времени интервала в одну неделю.</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r w:rsidRPr="00041A40">
        <w:rPr>
          <w:rFonts w:eastAsia="Times New Roman" w:cs="Times New Roman"/>
          <w:sz w:val="22"/>
          <w:szCs w:val="22"/>
          <w:lang w:eastAsia="en-US"/>
        </w:rPr>
        <w:t>Таблица 1</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bookmarkStart w:id="23" w:name="Par240"/>
      <w:bookmarkEnd w:id="23"/>
      <w:r w:rsidRPr="00041A40">
        <w:rPr>
          <w:rFonts w:eastAsia="Times New Roman" w:cs="Times New Roman"/>
          <w:sz w:val="22"/>
          <w:szCs w:val="22"/>
          <w:lang w:eastAsia="en-US"/>
        </w:rPr>
        <w:t>Значения коэффициентов нечетных гармонических</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составляющих напряжения, не кратных трем </w:t>
      </w:r>
      <w:r>
        <w:rPr>
          <w:rFonts w:eastAsia="Times New Roman" w:cs="Times New Roman"/>
          <w:noProof/>
          <w:position w:val="-14"/>
          <w:sz w:val="22"/>
          <w:szCs w:val="22"/>
        </w:rPr>
        <w:drawing>
          <wp:inline distT="0" distB="0" distL="0" distR="0">
            <wp:extent cx="390525" cy="266700"/>
            <wp:effectExtent l="0" t="0" r="9525"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[см. </w:t>
      </w:r>
      <w:hyperlink w:anchor="Par233" w:history="1">
        <w:r w:rsidRPr="00041A40">
          <w:rPr>
            <w:rFonts w:eastAsia="Times New Roman" w:cs="Times New Roman"/>
            <w:color w:val="0000FF"/>
            <w:sz w:val="22"/>
            <w:szCs w:val="22"/>
            <w:lang w:eastAsia="en-US"/>
          </w:rPr>
          <w:t>4.2.4.1, перечисления а)</w:t>
        </w:r>
      </w:hyperlink>
      <w:r w:rsidRPr="00041A40">
        <w:rPr>
          <w:rFonts w:eastAsia="Times New Roman" w:cs="Times New Roman"/>
          <w:sz w:val="22"/>
          <w:szCs w:val="22"/>
          <w:lang w:eastAsia="en-US"/>
        </w:rPr>
        <w:t xml:space="preserve">, </w:t>
      </w:r>
      <w:hyperlink w:anchor="Par234" w:history="1">
        <w:r w:rsidRPr="00041A40">
          <w:rPr>
            <w:rFonts w:eastAsia="Times New Roman" w:cs="Times New Roman"/>
            <w:color w:val="0000FF"/>
            <w:sz w:val="22"/>
            <w:szCs w:val="22"/>
            <w:lang w:eastAsia="en-US"/>
          </w:rPr>
          <w:t>б)</w:t>
        </w:r>
      </w:hyperlink>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sectPr w:rsidR="00041A40" w:rsidRPr="00041A40">
          <w:pgSz w:w="11905" w:h="16838"/>
          <w:pgMar w:top="1134" w:right="850" w:bottom="1134" w:left="1701" w:header="720" w:footer="720" w:gutter="0"/>
          <w:cols w:space="720"/>
          <w:noEndnote/>
        </w:sect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2580"/>
        <w:gridCol w:w="1800"/>
        <w:gridCol w:w="1800"/>
        <w:gridCol w:w="1800"/>
        <w:gridCol w:w="1800"/>
      </w:tblGrid>
      <w:tr w:rsidR="00041A40" w:rsidRPr="00041A40" w:rsidTr="00CD6560">
        <w:tc>
          <w:tcPr>
            <w:tcW w:w="258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Порядок гармонической составляющей n</w:t>
            </w:r>
          </w:p>
        </w:tc>
        <w:tc>
          <w:tcPr>
            <w:tcW w:w="720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Значения коэффициентов гармонических составляющих напряжения </w:t>
            </w:r>
            <w:r>
              <w:rPr>
                <w:rFonts w:eastAsia="Times New Roman" w:cs="Times New Roman"/>
                <w:noProof/>
                <w:position w:val="-14"/>
                <w:sz w:val="22"/>
                <w:szCs w:val="22"/>
              </w:rPr>
              <w:drawing>
                <wp:inline distT="0" distB="0" distL="0" distR="0">
                  <wp:extent cx="390525" cy="266700"/>
                  <wp:effectExtent l="0" t="0" r="9525"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r w:rsidRPr="00041A40">
              <w:rPr>
                <w:rFonts w:eastAsia="Times New Roman" w:cs="Times New Roman"/>
                <w:sz w:val="22"/>
                <w:szCs w:val="22"/>
                <w:lang w:eastAsia="en-US"/>
              </w:rPr>
              <w:t>, % </w:t>
            </w:r>
            <w:r>
              <w:rPr>
                <w:rFonts w:eastAsia="Times New Roman" w:cs="Times New Roman"/>
                <w:noProof/>
                <w:position w:val="-12"/>
                <w:sz w:val="22"/>
                <w:szCs w:val="22"/>
              </w:rPr>
              <w:drawing>
                <wp:inline distT="0" distB="0" distL="0" distR="0">
                  <wp:extent cx="209550" cy="257175"/>
                  <wp:effectExtent l="0" t="0" r="0" b="9525"/>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9550" cy="257175"/>
                          </a:xfrm>
                          <a:prstGeom prst="rect">
                            <a:avLst/>
                          </a:prstGeom>
                          <a:noFill/>
                          <a:ln>
                            <a:noFill/>
                          </a:ln>
                        </pic:spPr>
                      </pic:pic>
                    </a:graphicData>
                  </a:graphic>
                </wp:inline>
              </w:drawing>
            </w:r>
          </w:p>
        </w:tc>
      </w:tr>
      <w:tr w:rsidR="00041A40" w:rsidRPr="00041A40" w:rsidTr="00CD6560">
        <w:tc>
          <w:tcPr>
            <w:tcW w:w="258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c>
        <w:tc>
          <w:tcPr>
            <w:tcW w:w="720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Напряжение электрической сети, кВ</w:t>
            </w:r>
          </w:p>
        </w:tc>
      </w:tr>
      <w:tr w:rsidR="00041A40" w:rsidRPr="00041A40" w:rsidTr="00CD6560">
        <w:tc>
          <w:tcPr>
            <w:tcW w:w="258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0,38</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6 - 25</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35</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110 - 220</w:t>
            </w:r>
          </w:p>
        </w:tc>
      </w:tr>
      <w:tr w:rsidR="00041A40" w:rsidRPr="00041A40" w:rsidTr="00CD6560">
        <w:tc>
          <w:tcPr>
            <w:tcW w:w="25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5</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6</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4</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1,5</w:t>
            </w:r>
          </w:p>
        </w:tc>
      </w:tr>
      <w:tr w:rsidR="00041A40" w:rsidRPr="00041A40" w:rsidTr="00CD6560">
        <w:tc>
          <w:tcPr>
            <w:tcW w:w="25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7</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5</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2,5</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r>
      <w:tr w:rsidR="00041A40" w:rsidRPr="00041A40" w:rsidTr="00CD6560">
        <w:tc>
          <w:tcPr>
            <w:tcW w:w="25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11</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3,5</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r>
      <w:tr w:rsidR="00041A40" w:rsidRPr="00041A40" w:rsidTr="00CD6560">
        <w:tc>
          <w:tcPr>
            <w:tcW w:w="25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13</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3,0</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1,5</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0,7</w:t>
            </w:r>
          </w:p>
        </w:tc>
      </w:tr>
      <w:tr w:rsidR="00041A40" w:rsidRPr="00041A40" w:rsidTr="00CD6560">
        <w:tc>
          <w:tcPr>
            <w:tcW w:w="25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17</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2,0</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1,5</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0,5</w:t>
            </w:r>
          </w:p>
        </w:tc>
      </w:tr>
      <w:tr w:rsidR="00041A40" w:rsidRPr="00041A40" w:rsidTr="00CD6560">
        <w:tc>
          <w:tcPr>
            <w:tcW w:w="25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19</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1,5</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0,4</w:t>
            </w:r>
          </w:p>
        </w:tc>
      </w:tr>
      <w:tr w:rsidR="00041A40" w:rsidRPr="00041A40" w:rsidTr="00CD6560">
        <w:tc>
          <w:tcPr>
            <w:tcW w:w="25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23</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1,5</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0,4</w:t>
            </w:r>
          </w:p>
        </w:tc>
      </w:tr>
      <w:tr w:rsidR="00041A40" w:rsidRPr="00041A40" w:rsidTr="00CD6560">
        <w:tc>
          <w:tcPr>
            <w:tcW w:w="25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25</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1,5</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0,4</w:t>
            </w:r>
          </w:p>
        </w:tc>
      </w:tr>
      <w:tr w:rsidR="00041A40" w:rsidRPr="00041A40" w:rsidTr="00CD6560">
        <w:tc>
          <w:tcPr>
            <w:tcW w:w="25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&gt; 25</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1,5</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0,4</w:t>
            </w:r>
          </w:p>
        </w:tc>
      </w:tr>
    </w:tbl>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r w:rsidRPr="00041A40">
        <w:rPr>
          <w:rFonts w:eastAsia="Times New Roman" w:cs="Times New Roman"/>
          <w:sz w:val="22"/>
          <w:szCs w:val="22"/>
          <w:lang w:eastAsia="en-US"/>
        </w:rPr>
        <w:t>Таблица 2</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Значения коэффициентов нечетных гармонических</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составляющих напряжения, кратных трем </w:t>
      </w:r>
      <w:r>
        <w:rPr>
          <w:rFonts w:eastAsia="Times New Roman" w:cs="Times New Roman"/>
          <w:noProof/>
          <w:position w:val="-14"/>
          <w:sz w:val="22"/>
          <w:szCs w:val="22"/>
        </w:rPr>
        <w:drawing>
          <wp:inline distT="0" distB="0" distL="0" distR="0">
            <wp:extent cx="390525" cy="266700"/>
            <wp:effectExtent l="0" t="0" r="9525"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[см. </w:t>
      </w:r>
      <w:hyperlink w:anchor="Par233" w:history="1">
        <w:r w:rsidRPr="00041A40">
          <w:rPr>
            <w:rFonts w:eastAsia="Times New Roman" w:cs="Times New Roman"/>
            <w:color w:val="0000FF"/>
            <w:sz w:val="22"/>
            <w:szCs w:val="22"/>
            <w:lang w:eastAsia="en-US"/>
          </w:rPr>
          <w:t>4.2.4.1, перечисления а)</w:t>
        </w:r>
      </w:hyperlink>
      <w:r w:rsidRPr="00041A40">
        <w:rPr>
          <w:rFonts w:eastAsia="Times New Roman" w:cs="Times New Roman"/>
          <w:sz w:val="22"/>
          <w:szCs w:val="22"/>
          <w:lang w:eastAsia="en-US"/>
        </w:rPr>
        <w:t xml:space="preserve">, </w:t>
      </w:r>
      <w:hyperlink w:anchor="Par234" w:history="1">
        <w:r w:rsidRPr="00041A40">
          <w:rPr>
            <w:rFonts w:eastAsia="Times New Roman" w:cs="Times New Roman"/>
            <w:color w:val="0000FF"/>
            <w:sz w:val="22"/>
            <w:szCs w:val="22"/>
            <w:lang w:eastAsia="en-US"/>
          </w:rPr>
          <w:t>б)</w:t>
        </w:r>
      </w:hyperlink>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2580"/>
        <w:gridCol w:w="1800"/>
        <w:gridCol w:w="1800"/>
        <w:gridCol w:w="1795"/>
        <w:gridCol w:w="1810"/>
      </w:tblGrid>
      <w:tr w:rsidR="00041A40" w:rsidRPr="00041A40" w:rsidTr="00CD6560">
        <w:tc>
          <w:tcPr>
            <w:tcW w:w="258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Порядок гармонической составляющей n</w:t>
            </w:r>
          </w:p>
        </w:tc>
        <w:tc>
          <w:tcPr>
            <w:tcW w:w="7205"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Значения коэффициентов напряжения гармонических составляющих </w:t>
            </w:r>
            <w:r>
              <w:rPr>
                <w:rFonts w:eastAsia="Times New Roman" w:cs="Times New Roman"/>
                <w:noProof/>
                <w:position w:val="-14"/>
                <w:sz w:val="22"/>
                <w:szCs w:val="22"/>
              </w:rPr>
              <w:drawing>
                <wp:inline distT="0" distB="0" distL="0" distR="0">
                  <wp:extent cx="390525" cy="266700"/>
                  <wp:effectExtent l="0" t="0" r="9525"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r w:rsidRPr="00041A40">
              <w:rPr>
                <w:rFonts w:eastAsia="Times New Roman" w:cs="Times New Roman"/>
                <w:sz w:val="22"/>
                <w:szCs w:val="22"/>
                <w:lang w:eastAsia="en-US"/>
              </w:rPr>
              <w:t>, % </w:t>
            </w:r>
            <w:r>
              <w:rPr>
                <w:rFonts w:eastAsia="Times New Roman" w:cs="Times New Roman"/>
                <w:noProof/>
                <w:position w:val="-12"/>
                <w:sz w:val="22"/>
                <w:szCs w:val="22"/>
              </w:rPr>
              <w:drawing>
                <wp:inline distT="0" distB="0" distL="0" distR="0">
                  <wp:extent cx="209550" cy="257175"/>
                  <wp:effectExtent l="0" t="0" r="0" b="9525"/>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9550" cy="257175"/>
                          </a:xfrm>
                          <a:prstGeom prst="rect">
                            <a:avLst/>
                          </a:prstGeom>
                          <a:noFill/>
                          <a:ln>
                            <a:noFill/>
                          </a:ln>
                        </pic:spPr>
                      </pic:pic>
                    </a:graphicData>
                  </a:graphic>
                </wp:inline>
              </w:drawing>
            </w:r>
          </w:p>
        </w:tc>
      </w:tr>
      <w:tr w:rsidR="00041A40" w:rsidRPr="00041A40" w:rsidTr="00CD6560">
        <w:tc>
          <w:tcPr>
            <w:tcW w:w="258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c>
        <w:tc>
          <w:tcPr>
            <w:tcW w:w="7205"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Напряжение электрической сети, кВ</w:t>
            </w:r>
          </w:p>
        </w:tc>
      </w:tr>
      <w:tr w:rsidR="00041A40" w:rsidRPr="00041A40" w:rsidTr="00CD6560">
        <w:tc>
          <w:tcPr>
            <w:tcW w:w="258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0,38</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6 - 25</w:t>
            </w:r>
          </w:p>
        </w:tc>
        <w:tc>
          <w:tcPr>
            <w:tcW w:w="17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35</w:t>
            </w:r>
          </w:p>
        </w:tc>
        <w:tc>
          <w:tcPr>
            <w:tcW w:w="18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110 - 220</w:t>
            </w:r>
          </w:p>
        </w:tc>
      </w:tr>
      <w:tr w:rsidR="00041A40" w:rsidRPr="00041A40" w:rsidTr="00CD6560">
        <w:tc>
          <w:tcPr>
            <w:tcW w:w="25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5</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w:t>
            </w:r>
          </w:p>
        </w:tc>
        <w:tc>
          <w:tcPr>
            <w:tcW w:w="17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w:t>
            </w:r>
          </w:p>
        </w:tc>
        <w:tc>
          <w:tcPr>
            <w:tcW w:w="18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1,5</w:t>
            </w:r>
          </w:p>
        </w:tc>
      </w:tr>
      <w:tr w:rsidR="00041A40" w:rsidRPr="00041A40" w:rsidTr="00CD6560">
        <w:tc>
          <w:tcPr>
            <w:tcW w:w="25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9</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1,5</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c>
          <w:tcPr>
            <w:tcW w:w="17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c>
          <w:tcPr>
            <w:tcW w:w="18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0,4</w:t>
            </w:r>
          </w:p>
        </w:tc>
      </w:tr>
      <w:tr w:rsidR="00041A40" w:rsidRPr="00041A40" w:rsidTr="00CD6560">
        <w:tc>
          <w:tcPr>
            <w:tcW w:w="25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15</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0,3</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0,3</w:t>
            </w:r>
          </w:p>
        </w:tc>
        <w:tc>
          <w:tcPr>
            <w:tcW w:w="17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0,3</w:t>
            </w:r>
          </w:p>
        </w:tc>
        <w:tc>
          <w:tcPr>
            <w:tcW w:w="18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0,2</w:t>
            </w:r>
          </w:p>
        </w:tc>
      </w:tr>
      <w:tr w:rsidR="00041A40" w:rsidRPr="00041A40" w:rsidTr="00CD6560">
        <w:tc>
          <w:tcPr>
            <w:tcW w:w="25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21</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0,2</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0,2</w:t>
            </w:r>
          </w:p>
        </w:tc>
        <w:tc>
          <w:tcPr>
            <w:tcW w:w="17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0,2</w:t>
            </w:r>
          </w:p>
        </w:tc>
        <w:tc>
          <w:tcPr>
            <w:tcW w:w="18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0,2</w:t>
            </w:r>
          </w:p>
        </w:tc>
      </w:tr>
      <w:tr w:rsidR="00041A40" w:rsidRPr="00041A40" w:rsidTr="00CD6560">
        <w:tc>
          <w:tcPr>
            <w:tcW w:w="25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&gt; 21</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0,2</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0,2</w:t>
            </w:r>
          </w:p>
        </w:tc>
        <w:tc>
          <w:tcPr>
            <w:tcW w:w="17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0,2</w:t>
            </w:r>
          </w:p>
        </w:tc>
        <w:tc>
          <w:tcPr>
            <w:tcW w:w="18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0,2</w:t>
            </w:r>
          </w:p>
        </w:tc>
      </w:tr>
    </w:tbl>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r w:rsidRPr="00041A40">
        <w:rPr>
          <w:rFonts w:eastAsia="Times New Roman" w:cs="Times New Roman"/>
          <w:sz w:val="22"/>
          <w:szCs w:val="22"/>
          <w:lang w:eastAsia="en-US"/>
        </w:rPr>
        <w:t>Таблица 3</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bookmarkStart w:id="24" w:name="Par338"/>
      <w:bookmarkEnd w:id="24"/>
      <w:r w:rsidRPr="00041A40">
        <w:rPr>
          <w:rFonts w:eastAsia="Times New Roman" w:cs="Times New Roman"/>
          <w:sz w:val="22"/>
          <w:szCs w:val="22"/>
          <w:lang w:eastAsia="en-US"/>
        </w:rPr>
        <w:t>Значения коэффициентов напряжения четных гармонических</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составляющих </w:t>
      </w:r>
      <w:r>
        <w:rPr>
          <w:rFonts w:eastAsia="Times New Roman" w:cs="Times New Roman"/>
          <w:noProof/>
          <w:position w:val="-14"/>
          <w:sz w:val="22"/>
          <w:szCs w:val="22"/>
        </w:rPr>
        <w:drawing>
          <wp:inline distT="0" distB="0" distL="0" distR="0">
            <wp:extent cx="390525" cy="266700"/>
            <wp:effectExtent l="0" t="0" r="9525"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r w:rsidRPr="00041A40">
        <w:rPr>
          <w:rFonts w:eastAsia="Times New Roman" w:cs="Times New Roman"/>
          <w:sz w:val="22"/>
          <w:szCs w:val="22"/>
          <w:lang w:eastAsia="en-US"/>
        </w:rPr>
        <w:t xml:space="preserve"> [см. </w:t>
      </w:r>
      <w:hyperlink w:anchor="Par233" w:history="1">
        <w:r w:rsidRPr="00041A40">
          <w:rPr>
            <w:rFonts w:eastAsia="Times New Roman" w:cs="Times New Roman"/>
            <w:color w:val="0000FF"/>
            <w:sz w:val="22"/>
            <w:szCs w:val="22"/>
            <w:lang w:eastAsia="en-US"/>
          </w:rPr>
          <w:t>4.2.4.1, перечисления а)</w:t>
        </w:r>
      </w:hyperlink>
      <w:r w:rsidRPr="00041A40">
        <w:rPr>
          <w:rFonts w:eastAsia="Times New Roman" w:cs="Times New Roman"/>
          <w:sz w:val="22"/>
          <w:szCs w:val="22"/>
          <w:lang w:eastAsia="en-US"/>
        </w:rPr>
        <w:t xml:space="preserve">, </w:t>
      </w:r>
      <w:hyperlink w:anchor="Par234" w:history="1">
        <w:r w:rsidRPr="00041A40">
          <w:rPr>
            <w:rFonts w:eastAsia="Times New Roman" w:cs="Times New Roman"/>
            <w:color w:val="0000FF"/>
            <w:sz w:val="22"/>
            <w:szCs w:val="22"/>
            <w:lang w:eastAsia="en-US"/>
          </w:rPr>
          <w:t>б)</w:t>
        </w:r>
      </w:hyperlink>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2580"/>
        <w:gridCol w:w="1800"/>
        <w:gridCol w:w="1800"/>
        <w:gridCol w:w="1800"/>
        <w:gridCol w:w="1800"/>
      </w:tblGrid>
      <w:tr w:rsidR="00041A40" w:rsidRPr="00041A40" w:rsidTr="00CD6560">
        <w:tc>
          <w:tcPr>
            <w:tcW w:w="258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Порядок гармонической составляющей n</w:t>
            </w:r>
          </w:p>
        </w:tc>
        <w:tc>
          <w:tcPr>
            <w:tcW w:w="720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Значения коэффициентов гармонических составляющих напряжения </w:t>
            </w:r>
            <w:r>
              <w:rPr>
                <w:rFonts w:eastAsia="Times New Roman" w:cs="Times New Roman"/>
                <w:noProof/>
                <w:position w:val="-14"/>
                <w:sz w:val="22"/>
                <w:szCs w:val="22"/>
              </w:rPr>
              <w:drawing>
                <wp:inline distT="0" distB="0" distL="0" distR="0">
                  <wp:extent cx="390525" cy="266700"/>
                  <wp:effectExtent l="0" t="0" r="952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r w:rsidRPr="00041A40">
              <w:rPr>
                <w:rFonts w:eastAsia="Times New Roman" w:cs="Times New Roman"/>
                <w:sz w:val="22"/>
                <w:szCs w:val="22"/>
                <w:lang w:eastAsia="en-US"/>
              </w:rPr>
              <w:t>, % </w:t>
            </w:r>
            <w:r>
              <w:rPr>
                <w:rFonts w:eastAsia="Times New Roman" w:cs="Times New Roman"/>
                <w:noProof/>
                <w:position w:val="-12"/>
                <w:sz w:val="22"/>
                <w:szCs w:val="22"/>
              </w:rPr>
              <w:drawing>
                <wp:inline distT="0" distB="0" distL="0" distR="0">
                  <wp:extent cx="209550" cy="257175"/>
                  <wp:effectExtent l="0" t="0" r="0" b="952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9550" cy="257175"/>
                          </a:xfrm>
                          <a:prstGeom prst="rect">
                            <a:avLst/>
                          </a:prstGeom>
                          <a:noFill/>
                          <a:ln>
                            <a:noFill/>
                          </a:ln>
                        </pic:spPr>
                      </pic:pic>
                    </a:graphicData>
                  </a:graphic>
                </wp:inline>
              </w:drawing>
            </w:r>
          </w:p>
        </w:tc>
      </w:tr>
      <w:tr w:rsidR="00041A40" w:rsidRPr="00041A40" w:rsidTr="00CD6560">
        <w:tc>
          <w:tcPr>
            <w:tcW w:w="258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c>
        <w:tc>
          <w:tcPr>
            <w:tcW w:w="720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Напряжение электрической сети, кВ</w:t>
            </w:r>
          </w:p>
        </w:tc>
      </w:tr>
      <w:tr w:rsidR="00041A40" w:rsidRPr="00041A40" w:rsidTr="00CD6560">
        <w:tc>
          <w:tcPr>
            <w:tcW w:w="258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0,38</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6 - 25</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35</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110 - 220</w:t>
            </w:r>
          </w:p>
        </w:tc>
      </w:tr>
      <w:tr w:rsidR="00041A40" w:rsidRPr="00041A40" w:rsidTr="00CD6560">
        <w:tc>
          <w:tcPr>
            <w:tcW w:w="25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1,5</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0,5</w:t>
            </w:r>
          </w:p>
        </w:tc>
      </w:tr>
      <w:tr w:rsidR="00041A40" w:rsidRPr="00041A40" w:rsidTr="00CD6560">
        <w:tc>
          <w:tcPr>
            <w:tcW w:w="25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4</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0,7</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0,5</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0,3</w:t>
            </w:r>
          </w:p>
        </w:tc>
      </w:tr>
      <w:tr w:rsidR="00041A40" w:rsidRPr="00041A40" w:rsidTr="00CD6560">
        <w:tc>
          <w:tcPr>
            <w:tcW w:w="25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6</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0,5</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0,3</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0,3</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0,2</w:t>
            </w:r>
          </w:p>
        </w:tc>
      </w:tr>
      <w:tr w:rsidR="00041A40" w:rsidRPr="00041A40" w:rsidTr="00CD6560">
        <w:tc>
          <w:tcPr>
            <w:tcW w:w="25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8</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0,5</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0,3</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0,3</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0,2</w:t>
            </w:r>
          </w:p>
        </w:tc>
      </w:tr>
      <w:tr w:rsidR="00041A40" w:rsidRPr="00041A40" w:rsidTr="00CD6560">
        <w:tc>
          <w:tcPr>
            <w:tcW w:w="25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10</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0,5</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0,3</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0,3</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0,2</w:t>
            </w:r>
          </w:p>
        </w:tc>
      </w:tr>
      <w:tr w:rsidR="00041A40" w:rsidRPr="00041A40" w:rsidTr="00CD6560">
        <w:tc>
          <w:tcPr>
            <w:tcW w:w="25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12</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0,2</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0,2</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0,2</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0,2</w:t>
            </w:r>
          </w:p>
        </w:tc>
      </w:tr>
      <w:tr w:rsidR="00041A40" w:rsidRPr="00041A40" w:rsidTr="00CD6560">
        <w:tc>
          <w:tcPr>
            <w:tcW w:w="25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&gt; 12</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0,2</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0,2</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0,2</w:t>
            </w:r>
          </w:p>
        </w:tc>
        <w:tc>
          <w:tcPr>
            <w:tcW w:w="18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0,2</w:t>
            </w:r>
          </w:p>
        </w:tc>
      </w:tr>
    </w:tbl>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r w:rsidRPr="00041A40">
        <w:rPr>
          <w:rFonts w:eastAsia="Times New Roman" w:cs="Times New Roman"/>
          <w:sz w:val="22"/>
          <w:szCs w:val="22"/>
          <w:lang w:eastAsia="en-US"/>
        </w:rPr>
        <w:t>Таблица 4</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bookmarkStart w:id="25" w:name="Par386"/>
      <w:bookmarkEnd w:id="25"/>
      <w:r w:rsidRPr="00041A40">
        <w:rPr>
          <w:rFonts w:eastAsia="Times New Roman" w:cs="Times New Roman"/>
          <w:sz w:val="22"/>
          <w:szCs w:val="22"/>
          <w:lang w:eastAsia="en-US"/>
        </w:rPr>
        <w:t>Значения суммарных коэффициентов гармонических составляющих</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напряжения </w:t>
      </w:r>
      <w:r>
        <w:rPr>
          <w:rFonts w:eastAsia="Times New Roman" w:cs="Times New Roman"/>
          <w:noProof/>
          <w:position w:val="-12"/>
          <w:sz w:val="22"/>
          <w:szCs w:val="22"/>
        </w:rPr>
        <w:drawing>
          <wp:inline distT="0" distB="0" distL="0" distR="0">
            <wp:extent cx="257175" cy="257175"/>
            <wp:effectExtent l="0" t="0" r="9525" b="9525"/>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[см. </w:t>
      </w:r>
      <w:hyperlink w:anchor="Par235" w:history="1">
        <w:r w:rsidRPr="00041A40">
          <w:rPr>
            <w:rFonts w:eastAsia="Times New Roman" w:cs="Times New Roman"/>
            <w:color w:val="0000FF"/>
            <w:sz w:val="22"/>
            <w:szCs w:val="22"/>
            <w:lang w:eastAsia="en-US"/>
          </w:rPr>
          <w:t>4.2.4.1, перечисление в)</w:t>
        </w:r>
      </w:hyperlink>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2340"/>
        <w:gridCol w:w="2520"/>
        <w:gridCol w:w="2520"/>
        <w:gridCol w:w="2400"/>
      </w:tblGrid>
      <w:tr w:rsidR="00041A40" w:rsidRPr="00041A40" w:rsidTr="00CD6560">
        <w:tc>
          <w:tcPr>
            <w:tcW w:w="978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Значения суммарных коэффициентов гармонических составляющих напряжения </w:t>
            </w:r>
            <w:r>
              <w:rPr>
                <w:rFonts w:eastAsia="Times New Roman" w:cs="Times New Roman"/>
                <w:noProof/>
                <w:position w:val="-12"/>
                <w:sz w:val="22"/>
                <w:szCs w:val="22"/>
              </w:rPr>
              <w:drawing>
                <wp:inline distT="0" distB="0" distL="0" distR="0">
                  <wp:extent cx="257175" cy="257175"/>
                  <wp:effectExtent l="0" t="0" r="9525" b="9525"/>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041A40">
              <w:rPr>
                <w:rFonts w:eastAsia="Times New Roman" w:cs="Times New Roman"/>
                <w:sz w:val="22"/>
                <w:szCs w:val="22"/>
                <w:lang w:eastAsia="en-US"/>
              </w:rPr>
              <w:t>, %</w:t>
            </w:r>
          </w:p>
        </w:tc>
      </w:tr>
      <w:tr w:rsidR="00041A40" w:rsidRPr="00041A40" w:rsidTr="00CD6560">
        <w:tc>
          <w:tcPr>
            <w:tcW w:w="978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Напряжение электрической сети, кВ</w:t>
            </w:r>
          </w:p>
        </w:tc>
      </w:tr>
      <w:tr w:rsidR="00041A40" w:rsidRPr="00041A40" w:rsidTr="00CD6560">
        <w:tc>
          <w:tcPr>
            <w:tcW w:w="23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0,38</w:t>
            </w:r>
          </w:p>
        </w:tc>
        <w:tc>
          <w:tcPr>
            <w:tcW w:w="25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6 - 25</w:t>
            </w:r>
          </w:p>
        </w:tc>
        <w:tc>
          <w:tcPr>
            <w:tcW w:w="25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35</w:t>
            </w:r>
          </w:p>
        </w:tc>
        <w:tc>
          <w:tcPr>
            <w:tcW w:w="24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110 - 220</w:t>
            </w:r>
          </w:p>
        </w:tc>
      </w:tr>
      <w:tr w:rsidR="00041A40" w:rsidRPr="00041A40" w:rsidTr="00CD6560">
        <w:tc>
          <w:tcPr>
            <w:tcW w:w="23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8,0</w:t>
            </w:r>
          </w:p>
        </w:tc>
        <w:tc>
          <w:tcPr>
            <w:tcW w:w="25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5,0</w:t>
            </w:r>
          </w:p>
        </w:tc>
        <w:tc>
          <w:tcPr>
            <w:tcW w:w="25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4,0</w:t>
            </w:r>
          </w:p>
        </w:tc>
        <w:tc>
          <w:tcPr>
            <w:tcW w:w="24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2,0</w:t>
            </w:r>
          </w:p>
        </w:tc>
      </w:tr>
    </w:tbl>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r w:rsidRPr="00041A40">
        <w:rPr>
          <w:rFonts w:eastAsia="Times New Roman" w:cs="Times New Roman"/>
          <w:sz w:val="22"/>
          <w:szCs w:val="22"/>
          <w:lang w:eastAsia="en-US"/>
        </w:rPr>
        <w:t>Таблица 5</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bookmarkStart w:id="26" w:name="Par402"/>
      <w:bookmarkEnd w:id="26"/>
      <w:r w:rsidRPr="00041A40">
        <w:rPr>
          <w:rFonts w:eastAsia="Times New Roman" w:cs="Times New Roman"/>
          <w:sz w:val="22"/>
          <w:szCs w:val="22"/>
          <w:lang w:eastAsia="en-US"/>
        </w:rPr>
        <w:t>Значения суммарных коэффициентов гармонических составляющих</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напряжения </w:t>
      </w:r>
      <w:r>
        <w:rPr>
          <w:rFonts w:eastAsia="Times New Roman" w:cs="Times New Roman"/>
          <w:noProof/>
          <w:position w:val="-12"/>
          <w:sz w:val="22"/>
          <w:szCs w:val="22"/>
        </w:rPr>
        <w:drawing>
          <wp:inline distT="0" distB="0" distL="0" distR="0">
            <wp:extent cx="257175" cy="257175"/>
            <wp:effectExtent l="0" t="0" r="9525" b="9525"/>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[см. </w:t>
      </w:r>
      <w:hyperlink w:anchor="Par236" w:history="1">
        <w:r w:rsidRPr="00041A40">
          <w:rPr>
            <w:rFonts w:eastAsia="Times New Roman" w:cs="Times New Roman"/>
            <w:color w:val="0000FF"/>
            <w:sz w:val="22"/>
            <w:szCs w:val="22"/>
            <w:lang w:eastAsia="en-US"/>
          </w:rPr>
          <w:t>4.2.4.1, перечисление г)</w:t>
        </w:r>
      </w:hyperlink>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2340"/>
        <w:gridCol w:w="2520"/>
        <w:gridCol w:w="2520"/>
        <w:gridCol w:w="2400"/>
      </w:tblGrid>
      <w:tr w:rsidR="00041A40" w:rsidRPr="00041A40" w:rsidTr="00CD6560">
        <w:tc>
          <w:tcPr>
            <w:tcW w:w="978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Значения суммарных коэффициентов гармонических составляющих напряжения </w:t>
            </w:r>
            <w:r>
              <w:rPr>
                <w:rFonts w:eastAsia="Times New Roman" w:cs="Times New Roman"/>
                <w:noProof/>
                <w:position w:val="-12"/>
                <w:sz w:val="22"/>
                <w:szCs w:val="22"/>
              </w:rPr>
              <w:drawing>
                <wp:inline distT="0" distB="0" distL="0" distR="0">
                  <wp:extent cx="257175" cy="257175"/>
                  <wp:effectExtent l="0" t="0" r="9525" b="9525"/>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041A40">
              <w:rPr>
                <w:rFonts w:eastAsia="Times New Roman" w:cs="Times New Roman"/>
                <w:sz w:val="22"/>
                <w:szCs w:val="22"/>
                <w:lang w:eastAsia="en-US"/>
              </w:rPr>
              <w:t>, %</w:t>
            </w:r>
          </w:p>
        </w:tc>
      </w:tr>
      <w:tr w:rsidR="00041A40" w:rsidRPr="00041A40" w:rsidTr="00CD6560">
        <w:tc>
          <w:tcPr>
            <w:tcW w:w="978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Напряжение электрической сети, кВ</w:t>
            </w:r>
          </w:p>
        </w:tc>
      </w:tr>
      <w:tr w:rsidR="00041A40" w:rsidRPr="00041A40" w:rsidTr="00CD6560">
        <w:tc>
          <w:tcPr>
            <w:tcW w:w="23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0,38</w:t>
            </w:r>
          </w:p>
        </w:tc>
        <w:tc>
          <w:tcPr>
            <w:tcW w:w="25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6 - 25</w:t>
            </w:r>
          </w:p>
        </w:tc>
        <w:tc>
          <w:tcPr>
            <w:tcW w:w="25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35</w:t>
            </w:r>
          </w:p>
        </w:tc>
        <w:tc>
          <w:tcPr>
            <w:tcW w:w="24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110 - 220</w:t>
            </w:r>
          </w:p>
        </w:tc>
      </w:tr>
      <w:tr w:rsidR="00041A40" w:rsidRPr="00041A40" w:rsidTr="00CD6560">
        <w:tc>
          <w:tcPr>
            <w:tcW w:w="23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12,0</w:t>
            </w:r>
          </w:p>
        </w:tc>
        <w:tc>
          <w:tcPr>
            <w:tcW w:w="25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8,0</w:t>
            </w:r>
          </w:p>
        </w:tc>
        <w:tc>
          <w:tcPr>
            <w:tcW w:w="25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6,0</w:t>
            </w:r>
          </w:p>
        </w:tc>
        <w:tc>
          <w:tcPr>
            <w:tcW w:w="24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3,0</w:t>
            </w:r>
          </w:p>
        </w:tc>
      </w:tr>
    </w:tbl>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sectPr w:rsidR="00041A40" w:rsidRPr="00041A40">
          <w:pgSz w:w="16838" w:h="11905" w:orient="landscape"/>
          <w:pgMar w:top="1701" w:right="1134" w:bottom="850" w:left="1134" w:header="720" w:footer="720" w:gutter="0"/>
          <w:cols w:space="720"/>
          <w:noEndnote/>
        </w:sect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Измерения напряжения гармонических составляющих </w:t>
      </w:r>
      <w:r>
        <w:rPr>
          <w:rFonts w:eastAsia="Times New Roman" w:cs="Times New Roman"/>
          <w:noProof/>
          <w:position w:val="-12"/>
          <w:sz w:val="22"/>
          <w:szCs w:val="22"/>
        </w:rPr>
        <w:drawing>
          <wp:inline distT="0" distB="0" distL="0" distR="0">
            <wp:extent cx="219075" cy="257175"/>
            <wp:effectExtent l="0" t="0" r="9525" b="9525"/>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07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должны быть проведены в соответствии с требованиями ГОСТ 30804.4.7, класс I, в интервалах времени 10 периодов без промежутков между интервалами с последующим усреднением в интервале времени 10 мин. В качестве результатов измерений в интервалах времени 10 периодов должны быть применены гармонические подгруппы по ГОСТ 30804.4.7, подраздел 3.2.</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В качестве суммарных коэффициентов гармонических составляющих напряжения </w:t>
      </w:r>
      <w:r>
        <w:rPr>
          <w:rFonts w:eastAsia="Times New Roman" w:cs="Times New Roman"/>
          <w:noProof/>
          <w:position w:val="-12"/>
          <w:sz w:val="22"/>
          <w:szCs w:val="22"/>
        </w:rPr>
        <w:drawing>
          <wp:inline distT="0" distB="0" distL="0" distR="0">
            <wp:extent cx="257175" cy="257175"/>
            <wp:effectExtent l="0" t="0" r="9525" b="9525"/>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должны быть применены суммарные коэффициенты гармонических подгрупп по ГОСТ 30804.4.7, подраздел 3.3.</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При оценке соответствия электрической энергии нормам КЭ, относящимся к гармоническим составляющим напряжения, установленным в настоящем стандарте, маркированные данные не учитывают.</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4.2.4.2. Интергармонические составляющие 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Уровень интергармонических составляющих напряжения электропитания увеличивается в связи с применением в электроустановках частотных преобразователей и другого управляющего оборудования.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Допустимые уровни интергармонических составляющих напряжения электропитания находятся на рассмотрении.</w:t>
      </w:r>
    </w:p>
    <w:p w:rsidR="00041A40" w:rsidRPr="00041A40" w:rsidRDefault="00041A40" w:rsidP="00041A40">
      <w:pPr>
        <w:widowControl w:val="0"/>
        <w:autoSpaceDE w:val="0"/>
        <w:autoSpaceDN w:val="0"/>
        <w:adjustRightInd w:val="0"/>
        <w:ind w:firstLine="540"/>
        <w:outlineLvl w:val="3"/>
        <w:rPr>
          <w:rFonts w:eastAsia="Times New Roman" w:cs="Times New Roman"/>
          <w:sz w:val="22"/>
          <w:szCs w:val="22"/>
          <w:lang w:eastAsia="en-US"/>
        </w:rPr>
      </w:pPr>
      <w:bookmarkStart w:id="27" w:name="Par422"/>
      <w:bookmarkEnd w:id="27"/>
      <w:r w:rsidRPr="00041A40">
        <w:rPr>
          <w:rFonts w:eastAsia="Times New Roman" w:cs="Times New Roman"/>
          <w:sz w:val="22"/>
          <w:szCs w:val="22"/>
          <w:lang w:eastAsia="en-US"/>
        </w:rPr>
        <w:t>4.2.5. Несимметрия напряжений в трехфазных системах</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Несимметрия трехфазной системы напряжений обусловлена несимметричными нагрузками потребителей электрической энергии или несимметрией элементов электрической сети.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Показателями КЭ, относящимися к несимметрии напряжений в трехфазных системах, являются коэффициент несимметрии напряжений по обратной последовательности </w:t>
      </w:r>
      <w:r>
        <w:rPr>
          <w:rFonts w:eastAsia="Times New Roman" w:cs="Times New Roman"/>
          <w:noProof/>
          <w:position w:val="-12"/>
          <w:sz w:val="22"/>
          <w:szCs w:val="22"/>
        </w:rPr>
        <w:drawing>
          <wp:inline distT="0" distB="0" distL="0" distR="0">
            <wp:extent cx="314325" cy="257175"/>
            <wp:effectExtent l="0" t="0" r="9525" b="9525"/>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и коэффициент несимметрии напряжений по нулевой последовательности </w:t>
      </w:r>
      <w:r>
        <w:rPr>
          <w:rFonts w:eastAsia="Times New Roman" w:cs="Times New Roman"/>
          <w:noProof/>
          <w:position w:val="-12"/>
          <w:sz w:val="22"/>
          <w:szCs w:val="22"/>
        </w:rPr>
        <w:drawing>
          <wp:inline distT="0" distB="0" distL="0" distR="0">
            <wp:extent cx="314325" cy="257175"/>
            <wp:effectExtent l="0" t="0" r="9525" b="9525"/>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Для указанных показателей КЭ установлены следующие нормы:</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 значения коэффициентов несимметрии напряжений по обратной последовательности </w:t>
      </w:r>
      <w:r>
        <w:rPr>
          <w:rFonts w:eastAsia="Times New Roman" w:cs="Times New Roman"/>
          <w:noProof/>
          <w:position w:val="-12"/>
          <w:sz w:val="22"/>
          <w:szCs w:val="22"/>
        </w:rPr>
        <w:drawing>
          <wp:inline distT="0" distB="0" distL="0" distR="0">
            <wp:extent cx="314325" cy="257175"/>
            <wp:effectExtent l="0" t="0" r="9525" b="9525"/>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и несимметрии напряжений по нулевой последовательности </w:t>
      </w:r>
      <w:r>
        <w:rPr>
          <w:rFonts w:eastAsia="Times New Roman" w:cs="Times New Roman"/>
          <w:noProof/>
          <w:position w:val="-12"/>
          <w:sz w:val="22"/>
          <w:szCs w:val="22"/>
        </w:rPr>
        <w:drawing>
          <wp:inline distT="0" distB="0" distL="0" distR="0">
            <wp:extent cx="314325" cy="257175"/>
            <wp:effectExtent l="0" t="0" r="9525" b="9525"/>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в точке передачи электрической энергии, усредненные в интервале времени 10 мин, не должны превышать 2% в течение 95% времени интервала в одну неделю;</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 значения коэффициентов несимметрии напряжений по обратной последовательности </w:t>
      </w:r>
      <w:r>
        <w:rPr>
          <w:rFonts w:eastAsia="Times New Roman" w:cs="Times New Roman"/>
          <w:noProof/>
          <w:position w:val="-12"/>
          <w:sz w:val="22"/>
          <w:szCs w:val="22"/>
        </w:rPr>
        <w:drawing>
          <wp:inline distT="0" distB="0" distL="0" distR="0">
            <wp:extent cx="314325" cy="257175"/>
            <wp:effectExtent l="0" t="0" r="9525" b="9525"/>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и несимметрии напряжений по нулевой последовательности </w:t>
      </w:r>
      <w:r>
        <w:rPr>
          <w:rFonts w:eastAsia="Times New Roman" w:cs="Times New Roman"/>
          <w:noProof/>
          <w:position w:val="-12"/>
          <w:sz w:val="22"/>
          <w:szCs w:val="22"/>
        </w:rPr>
        <w:drawing>
          <wp:inline distT="0" distB="0" distL="0" distR="0">
            <wp:extent cx="314325" cy="257175"/>
            <wp:effectExtent l="0" t="0" r="9525" b="9525"/>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в точке передачи электрической энергии, усредненные в интервале времени 10 мин, не должны превышать 4% в течение 100% времени интервала в одну неделю.</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При оценке соответствия электрической энергии нормам КЭ, относящимся к несимметрии напряжений, установленным в настоящем стандарте, должны быть проведены измерения по ГОСТ 30804.4.30, подраздел 5.7, класс A, при этом маркированные данные не учитывают.</w:t>
      </w:r>
    </w:p>
    <w:p w:rsidR="00041A40" w:rsidRPr="00041A40" w:rsidRDefault="00041A40" w:rsidP="00041A40">
      <w:pPr>
        <w:widowControl w:val="0"/>
        <w:autoSpaceDE w:val="0"/>
        <w:autoSpaceDN w:val="0"/>
        <w:adjustRightInd w:val="0"/>
        <w:ind w:firstLine="540"/>
        <w:outlineLvl w:val="3"/>
        <w:rPr>
          <w:rFonts w:eastAsia="Times New Roman" w:cs="Times New Roman"/>
          <w:sz w:val="22"/>
          <w:szCs w:val="22"/>
          <w:lang w:eastAsia="en-US"/>
        </w:rPr>
      </w:pPr>
      <w:bookmarkStart w:id="28" w:name="Par429"/>
      <w:bookmarkEnd w:id="28"/>
      <w:r w:rsidRPr="00041A40">
        <w:rPr>
          <w:rFonts w:eastAsia="Times New Roman" w:cs="Times New Roman"/>
          <w:sz w:val="22"/>
          <w:szCs w:val="22"/>
          <w:lang w:eastAsia="en-US"/>
        </w:rPr>
        <w:t>4.2.6. Напряжения сигналов, передаваемых по электрическим сетям</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Допустимые уровни напряжения сигналов, передаваемых по электрическим сетям, и методы оценки соответствия требованиям находятся на рассмотрении.</w:t>
      </w:r>
    </w:p>
    <w:p w:rsidR="00041A40" w:rsidRPr="00041A40" w:rsidRDefault="00041A40" w:rsidP="00041A40">
      <w:pPr>
        <w:widowControl w:val="0"/>
        <w:autoSpaceDE w:val="0"/>
        <w:autoSpaceDN w:val="0"/>
        <w:adjustRightInd w:val="0"/>
        <w:ind w:firstLine="540"/>
        <w:outlineLvl w:val="2"/>
        <w:rPr>
          <w:rFonts w:eastAsia="Times New Roman" w:cs="Times New Roman"/>
          <w:sz w:val="22"/>
          <w:szCs w:val="22"/>
          <w:lang w:eastAsia="en-US"/>
        </w:rPr>
      </w:pPr>
      <w:bookmarkStart w:id="29" w:name="Par431"/>
      <w:bookmarkEnd w:id="29"/>
      <w:r w:rsidRPr="00041A40">
        <w:rPr>
          <w:rFonts w:eastAsia="Times New Roman" w:cs="Times New Roman"/>
          <w:sz w:val="22"/>
          <w:szCs w:val="22"/>
          <w:lang w:eastAsia="en-US"/>
        </w:rPr>
        <w:t>4.3. Случайные события</w:t>
      </w:r>
    </w:p>
    <w:p w:rsidR="00041A40" w:rsidRPr="00041A40" w:rsidRDefault="00041A40" w:rsidP="00041A40">
      <w:pPr>
        <w:widowControl w:val="0"/>
        <w:autoSpaceDE w:val="0"/>
        <w:autoSpaceDN w:val="0"/>
        <w:adjustRightInd w:val="0"/>
        <w:ind w:firstLine="540"/>
        <w:outlineLvl w:val="3"/>
        <w:rPr>
          <w:rFonts w:eastAsia="Times New Roman" w:cs="Times New Roman"/>
          <w:sz w:val="22"/>
          <w:szCs w:val="22"/>
          <w:lang w:eastAsia="en-US"/>
        </w:rPr>
      </w:pPr>
      <w:bookmarkStart w:id="30" w:name="Par432"/>
      <w:bookmarkEnd w:id="30"/>
      <w:r w:rsidRPr="00041A40">
        <w:rPr>
          <w:rFonts w:eastAsia="Times New Roman" w:cs="Times New Roman"/>
          <w:sz w:val="22"/>
          <w:szCs w:val="22"/>
          <w:lang w:eastAsia="en-US"/>
        </w:rPr>
        <w:t>4.3.1. Прерывания 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Прерывания напряжения относят к создаваемым преднамеренно, если пользователь электрической сети информирован о предстоящем прерывании напряжения, и к случайным, вызываемым длительными или кратковременными неисправностями, обусловленными в основном внешними воздействиями, отказами оборудования или влиянием электромагнитных помех.</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Создаваемые преднамеренно прерывания напряжения, как правило, обусловлены проведением запланированных работ в электрических сетях.</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Случайные прерывания напряжения подразделяют на длительные (длительность более 3 мин) и кратковременные (длительность не более 3 мин).</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Ежегодная частота длительных прерываний напряжения (длительностью более 3 мин) в значительной степени зависит от особенностей системы электроснабжения (в первую очередь, применения кабельных или воздушных линий) и климатических условий. Кратковременные прерывания напряжения наиболее вероятны при их длительности менее нескольких секунд.</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В трехфазных системах электроснабжения к прерываниям напряжения относят ситуацию, при которой напряжение меньше 5% опорного напряжения во всех фазах. Если напряжение меньше 5% опорного напряжения не во всех фазах, ситуацию рассматривают, как провал 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Пороговое значение начала прерывания считают равным 5% опорного 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Характеристики кратковременных прерываний напряжения приведены в </w:t>
      </w:r>
      <w:hyperlink w:anchor="Par462" w:history="1">
        <w:r w:rsidRPr="00041A40">
          <w:rPr>
            <w:rFonts w:eastAsia="Times New Roman" w:cs="Times New Roman"/>
            <w:color w:val="0000FF"/>
            <w:sz w:val="22"/>
            <w:szCs w:val="22"/>
            <w:lang w:eastAsia="en-US"/>
          </w:rPr>
          <w:t>Приложении А</w:t>
        </w:r>
      </w:hyperlink>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540"/>
        <w:outlineLvl w:val="3"/>
        <w:rPr>
          <w:rFonts w:eastAsia="Times New Roman" w:cs="Times New Roman"/>
          <w:sz w:val="22"/>
          <w:szCs w:val="22"/>
          <w:lang w:eastAsia="en-US"/>
        </w:rPr>
      </w:pPr>
      <w:bookmarkStart w:id="31" w:name="Par440"/>
      <w:bookmarkEnd w:id="31"/>
      <w:r w:rsidRPr="00041A40">
        <w:rPr>
          <w:rFonts w:eastAsia="Times New Roman" w:cs="Times New Roman"/>
          <w:sz w:val="22"/>
          <w:szCs w:val="22"/>
          <w:lang w:eastAsia="en-US"/>
        </w:rPr>
        <w:t>4.3.2. Провалы напряжения и перенапряжения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4.3.2.1. Провалы 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Провалы напряжения обычно происходят из-за неисправностей в электрических сетях или в электроустановках потребителей, а также при подключении мощной нагрузки.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Провал напряжения, как правило, связан с возникновением и окончанием короткого замыкания или иного резкого возрастания тока в системе или электроустановке, подключенной к электрической сети. В соответствии с требованиями настоящего стандарта провал напряжения рассматривается как электромагнитная помеха, интенсивность которой определяется как напряжением, так и длительностью. Длительность провала напряжения может быть до 1 мин.</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В трехфазных системах электроснабжения за начало провала напряжения принимают момент, когда напряжение хотя бы в одной из фаз падает ниже порогового значения начала провала напряжения, за окончание провала напряжения принимают момент, когда напряжение во всех фазах возрастает выше порогового значения окончания провала 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4.3.2.2. Перенапряжения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Перенапряжения, как правило, вызываются переключениями и отключениями нагрузки. Перенапряжения могут возникать между фазными проводниками или между фазными и защитным проводниками. В зависимости от устройства заземления короткие замыкания на землю могут также приводить к возникновению перенапряжения между фазными и нейтральным проводниками. В соответствии с требованиями настоящего стандарта перенапряжение рассматривается как электромагнитная помеха, интенсивность которой определяется как напряжением, так и длительностью. Длительность перенапряжения может быть до 1 мин.</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4.3.2.3. Определение и оценка провалов напряжения и перенапряжений</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Оба явления - провалы и перенапряжения - непредсказуемы и в значительной степени случайны. Частота возникновения их зависит от типа системы электроснабжения, точки наблюдения, времени года.</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Характеристики провалов напряжения и перенапряжений, а также данные об определении и оценке их приведены в </w:t>
      </w:r>
      <w:hyperlink w:anchor="Par462" w:history="1">
        <w:r w:rsidRPr="00041A40">
          <w:rPr>
            <w:rFonts w:eastAsia="Times New Roman" w:cs="Times New Roman"/>
            <w:color w:val="0000FF"/>
            <w:sz w:val="22"/>
            <w:szCs w:val="22"/>
            <w:lang w:eastAsia="en-US"/>
          </w:rPr>
          <w:t>Приложении А</w:t>
        </w:r>
      </w:hyperlink>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540"/>
        <w:outlineLvl w:val="3"/>
        <w:rPr>
          <w:rFonts w:eastAsia="Times New Roman" w:cs="Times New Roman"/>
          <w:sz w:val="22"/>
          <w:szCs w:val="22"/>
          <w:lang w:eastAsia="en-US"/>
        </w:rPr>
      </w:pPr>
      <w:bookmarkStart w:id="32" w:name="Par450"/>
      <w:bookmarkEnd w:id="32"/>
      <w:r w:rsidRPr="00041A40">
        <w:rPr>
          <w:rFonts w:eastAsia="Times New Roman" w:cs="Times New Roman"/>
          <w:sz w:val="22"/>
          <w:szCs w:val="22"/>
          <w:lang w:eastAsia="en-US"/>
        </w:rPr>
        <w:t>4.3.3. Импульсные 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Импульсные напряжения в точке передачи электрической энергии пользователю электрической сети вызываются в основном молниевыми разрядами или процессами коммутации в электрической сети или электроустановке потребителя электрической энергии. Время нарастания импульсных напряжений может изменяться в широких пределах (от значений менее 1 микросекунды до нескольких миллисекунд).</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Импульсные напряжения, вызванные молниевыми разрядами в основном имеют большие амплитуды, но меньшие значения энергии, чем импульсные напряжения, вызванные коммутационными процессами, характеризующимися, как правило, большей длительностью.</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Значения импульсных напряжений в электрических сетях низкого, среднего и высокого напряжения приведены в </w:t>
      </w:r>
      <w:hyperlink w:anchor="Par644" w:history="1">
        <w:r w:rsidRPr="00041A40">
          <w:rPr>
            <w:rFonts w:eastAsia="Times New Roman" w:cs="Times New Roman"/>
            <w:color w:val="0000FF"/>
            <w:sz w:val="22"/>
            <w:szCs w:val="22"/>
            <w:lang w:eastAsia="en-US"/>
          </w:rPr>
          <w:t>Приложении Б</w:t>
        </w:r>
      </w:hyperlink>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outlineLvl w:val="0"/>
        <w:rPr>
          <w:rFonts w:eastAsia="Times New Roman" w:cs="Times New Roman"/>
          <w:sz w:val="22"/>
          <w:szCs w:val="22"/>
          <w:lang w:eastAsia="en-US"/>
        </w:rPr>
      </w:pPr>
      <w:bookmarkStart w:id="33" w:name="Par459"/>
      <w:bookmarkEnd w:id="33"/>
      <w:r w:rsidRPr="00041A40">
        <w:rPr>
          <w:rFonts w:eastAsia="Times New Roman" w:cs="Times New Roman"/>
          <w:sz w:val="22"/>
          <w:szCs w:val="22"/>
          <w:lang w:eastAsia="en-US"/>
        </w:rPr>
        <w:t>Приложение А</w:t>
      </w: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r w:rsidRPr="00041A40">
        <w:rPr>
          <w:rFonts w:eastAsia="Times New Roman" w:cs="Times New Roman"/>
          <w:sz w:val="22"/>
          <w:szCs w:val="22"/>
          <w:lang w:eastAsia="en-US"/>
        </w:rPr>
        <w:t>(справочное)</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bookmarkStart w:id="34" w:name="Par462"/>
      <w:bookmarkEnd w:id="34"/>
      <w:r w:rsidRPr="00041A40">
        <w:rPr>
          <w:rFonts w:eastAsia="Times New Roman" w:cs="Times New Roman"/>
          <w:sz w:val="22"/>
          <w:szCs w:val="22"/>
          <w:lang w:eastAsia="en-US"/>
        </w:rPr>
        <w:t>ХАРАКТЕРИСТИКИ ПРОВАЛОВ, ПРЕРЫВАНИЙ НАПРЯЖЕНИЯ</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И ПЕРЕНАПРЯЖЕНИЙ В ЭЛЕКТРИЧЕСКИХ СЕТЯХ</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А.1. Провалы и прерывания 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Провалы и прерывания напряжения классифицируют в соответствии с </w:t>
      </w:r>
      <w:hyperlink w:anchor="Par810" w:history="1">
        <w:r w:rsidRPr="00041A40">
          <w:rPr>
            <w:rFonts w:eastAsia="Times New Roman" w:cs="Times New Roman"/>
            <w:color w:val="0000FF"/>
            <w:sz w:val="22"/>
            <w:szCs w:val="22"/>
            <w:lang w:eastAsia="en-US"/>
          </w:rPr>
          <w:t>[2]</w:t>
        </w:r>
      </w:hyperlink>
      <w:r w:rsidRPr="00041A40">
        <w:rPr>
          <w:rFonts w:eastAsia="Times New Roman" w:cs="Times New Roman"/>
          <w:sz w:val="22"/>
          <w:szCs w:val="22"/>
          <w:lang w:eastAsia="en-US"/>
        </w:rPr>
        <w:t xml:space="preserve"> (см. таблицы А.1 и </w:t>
      </w:r>
      <w:hyperlink w:anchor="Par519" w:history="1">
        <w:r w:rsidRPr="00041A40">
          <w:rPr>
            <w:rFonts w:eastAsia="Times New Roman" w:cs="Times New Roman"/>
            <w:color w:val="0000FF"/>
            <w:sz w:val="22"/>
            <w:szCs w:val="22"/>
            <w:lang w:eastAsia="en-US"/>
          </w:rPr>
          <w:t>А.2</w:t>
        </w:r>
      </w:hyperlink>
      <w:r w:rsidRPr="00041A40">
        <w:rPr>
          <w:rFonts w:eastAsia="Times New Roman" w:cs="Times New Roman"/>
          <w:sz w:val="22"/>
          <w:szCs w:val="22"/>
          <w:lang w:eastAsia="en-US"/>
        </w:rPr>
        <w:t>). Цифры, помещаемые в ячейки таблицы, отражают число соответствующих событий.</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spacing w:after="200" w:line="276" w:lineRule="auto"/>
        <w:ind w:firstLine="0"/>
        <w:jc w:val="left"/>
        <w:rPr>
          <w:rFonts w:eastAsia="Times New Roman" w:cs="Times New Roman"/>
          <w:sz w:val="22"/>
          <w:szCs w:val="22"/>
          <w:lang w:eastAsia="en-US"/>
        </w:rPr>
      </w:pPr>
      <w:r w:rsidRPr="00041A40">
        <w:rPr>
          <w:rFonts w:eastAsia="Times New Roman" w:cs="Times New Roman"/>
          <w:sz w:val="22"/>
          <w:szCs w:val="22"/>
          <w:lang w:eastAsia="en-US"/>
        </w:rPr>
        <w:br w:type="page"/>
      </w: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sectPr w:rsidR="00041A40" w:rsidRPr="00041A40">
          <w:pgSz w:w="11905" w:h="16838"/>
          <w:pgMar w:top="1134" w:right="850" w:bottom="1134" w:left="1701" w:header="720" w:footer="720" w:gutter="0"/>
          <w:cols w:space="720"/>
          <w:noEndnote/>
        </w:sect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r w:rsidRPr="00041A40">
        <w:rPr>
          <w:rFonts w:eastAsia="Times New Roman" w:cs="Times New Roman"/>
          <w:sz w:val="22"/>
          <w:szCs w:val="22"/>
          <w:lang w:eastAsia="en-US"/>
        </w:rPr>
        <w:t>Таблица А.1</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Классификация провалов напряжения</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по остаточному напряжению и длительности</w:t>
      </w:r>
    </w:p>
    <w:p w:rsidR="00041A40" w:rsidRPr="00041A40" w:rsidRDefault="00041A40" w:rsidP="00041A40">
      <w:pPr>
        <w:widowControl w:val="0"/>
        <w:autoSpaceDE w:val="0"/>
        <w:autoSpaceDN w:val="0"/>
        <w:adjustRightInd w:val="0"/>
        <w:ind w:firstLine="0"/>
        <w:rPr>
          <w:rFonts w:eastAsia="Times New Roman" w:cs="Times New Roman"/>
          <w:sz w:val="22"/>
          <w:szCs w:val="22"/>
          <w:lang w:eastAsia="en-US"/>
        </w:rPr>
      </w:pPr>
    </w:p>
    <w:tbl>
      <w:tblPr>
        <w:tblW w:w="14865" w:type="dxa"/>
        <w:tblLayout w:type="fixed"/>
        <w:tblCellMar>
          <w:top w:w="75" w:type="dxa"/>
          <w:left w:w="0" w:type="dxa"/>
          <w:bottom w:w="75" w:type="dxa"/>
          <w:right w:w="0" w:type="dxa"/>
        </w:tblCellMar>
        <w:tblLook w:val="0000" w:firstRow="0" w:lastRow="0" w:firstColumn="0" w:lastColumn="0" w:noHBand="0" w:noVBand="0"/>
      </w:tblPr>
      <w:tblGrid>
        <w:gridCol w:w="1565"/>
        <w:gridCol w:w="2242"/>
        <w:gridCol w:w="2373"/>
        <w:gridCol w:w="2506"/>
        <w:gridCol w:w="1978"/>
        <w:gridCol w:w="1978"/>
        <w:gridCol w:w="2223"/>
      </w:tblGrid>
      <w:tr w:rsidR="00041A40" w:rsidRPr="00041A40" w:rsidTr="00CD6560">
        <w:trPr>
          <w:trHeight w:val="514"/>
        </w:trPr>
        <w:tc>
          <w:tcPr>
            <w:tcW w:w="156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Остаточное напряжение u, % опорного напряжения</w:t>
            </w:r>
          </w:p>
        </w:tc>
        <w:tc>
          <w:tcPr>
            <w:tcW w:w="13300"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Длительность провала (прерывания) напряжения </w:t>
            </w:r>
            <w:r>
              <w:rPr>
                <w:rFonts w:eastAsia="Times New Roman" w:cs="Times New Roman"/>
                <w:noProof/>
                <w:position w:val="-12"/>
                <w:sz w:val="22"/>
                <w:szCs w:val="22"/>
              </w:rPr>
              <w:drawing>
                <wp:inline distT="0" distB="0" distL="0" distR="0">
                  <wp:extent cx="266700" cy="257175"/>
                  <wp:effectExtent l="0" t="0" r="0" b="9525"/>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041A40">
              <w:rPr>
                <w:rFonts w:eastAsia="Times New Roman" w:cs="Times New Roman"/>
                <w:sz w:val="22"/>
                <w:szCs w:val="22"/>
                <w:lang w:eastAsia="en-US"/>
              </w:rPr>
              <w:t>, с</w:t>
            </w:r>
          </w:p>
        </w:tc>
      </w:tr>
      <w:tr w:rsidR="00041A40" w:rsidRPr="00041A40" w:rsidTr="00CD6560">
        <w:trPr>
          <w:trHeight w:val="145"/>
        </w:trPr>
        <w:tc>
          <w:tcPr>
            <w:tcW w:w="156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c>
        <w:tc>
          <w:tcPr>
            <w:tcW w:w="2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1114425" cy="257175"/>
                  <wp:effectExtent l="0" t="0" r="9525" b="9525"/>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114425" cy="257175"/>
                          </a:xfrm>
                          <a:prstGeom prst="rect">
                            <a:avLst/>
                          </a:prstGeom>
                          <a:noFill/>
                          <a:ln>
                            <a:noFill/>
                          </a:ln>
                        </pic:spPr>
                      </pic:pic>
                    </a:graphicData>
                  </a:graphic>
                </wp:inline>
              </w:drawing>
            </w:r>
          </w:p>
        </w:tc>
        <w:tc>
          <w:tcPr>
            <w:tcW w:w="237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1133475" cy="257175"/>
                  <wp:effectExtent l="0" t="0" r="9525" b="952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33475" cy="257175"/>
                          </a:xfrm>
                          <a:prstGeom prst="rect">
                            <a:avLst/>
                          </a:prstGeom>
                          <a:noFill/>
                          <a:ln>
                            <a:noFill/>
                          </a:ln>
                        </pic:spPr>
                      </pic:pic>
                    </a:graphicData>
                  </a:graphic>
                </wp:inline>
              </w:drawing>
            </w:r>
          </w:p>
        </w:tc>
        <w:tc>
          <w:tcPr>
            <w:tcW w:w="25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876300" cy="257175"/>
                  <wp:effectExtent l="0" t="0" r="0" b="9525"/>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76300" cy="257175"/>
                          </a:xfrm>
                          <a:prstGeom prst="rect">
                            <a:avLst/>
                          </a:prstGeom>
                          <a:noFill/>
                          <a:ln>
                            <a:noFill/>
                          </a:ln>
                        </pic:spPr>
                      </pic:pic>
                    </a:graphicData>
                  </a:graphic>
                </wp:inline>
              </w:drawing>
            </w:r>
          </w:p>
        </w:tc>
        <w:tc>
          <w:tcPr>
            <w:tcW w:w="19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723900" cy="257175"/>
                  <wp:effectExtent l="0" t="0" r="0" b="952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p>
        </w:tc>
        <w:tc>
          <w:tcPr>
            <w:tcW w:w="19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847725" cy="257175"/>
                  <wp:effectExtent l="0" t="0" r="9525" b="952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47725" cy="257175"/>
                          </a:xfrm>
                          <a:prstGeom prst="rect">
                            <a:avLst/>
                          </a:prstGeom>
                          <a:noFill/>
                          <a:ln>
                            <a:noFill/>
                          </a:ln>
                        </pic:spPr>
                      </pic:pic>
                    </a:graphicData>
                  </a:graphic>
                </wp:inline>
              </w:drawing>
            </w:r>
          </w:p>
        </w:tc>
        <w:tc>
          <w:tcPr>
            <w:tcW w:w="22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933450" cy="257175"/>
                  <wp:effectExtent l="0" t="0" r="0" b="952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933450" cy="257175"/>
                          </a:xfrm>
                          <a:prstGeom prst="rect">
                            <a:avLst/>
                          </a:prstGeom>
                          <a:noFill/>
                          <a:ln>
                            <a:noFill/>
                          </a:ln>
                        </pic:spPr>
                      </pic:pic>
                    </a:graphicData>
                  </a:graphic>
                </wp:inline>
              </w:drawing>
            </w:r>
          </w:p>
        </w:tc>
      </w:tr>
      <w:tr w:rsidR="00041A40" w:rsidRPr="00041A40" w:rsidTr="00CD6560">
        <w:trPr>
          <w:trHeight w:val="272"/>
        </w:trPr>
        <w:tc>
          <w:tcPr>
            <w:tcW w:w="15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90 &gt; u &gt;= 85</w:t>
            </w:r>
          </w:p>
        </w:tc>
        <w:tc>
          <w:tcPr>
            <w:tcW w:w="2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237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25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19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19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22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r>
      <w:tr w:rsidR="00041A40" w:rsidRPr="00041A40" w:rsidTr="00CD6560">
        <w:trPr>
          <w:trHeight w:val="272"/>
        </w:trPr>
        <w:tc>
          <w:tcPr>
            <w:tcW w:w="15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85 &gt; u &gt; =70</w:t>
            </w:r>
          </w:p>
        </w:tc>
        <w:tc>
          <w:tcPr>
            <w:tcW w:w="2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237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25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19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19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22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r>
      <w:tr w:rsidR="00041A40" w:rsidRPr="00041A40" w:rsidTr="00CD6560">
        <w:trPr>
          <w:trHeight w:val="287"/>
        </w:trPr>
        <w:tc>
          <w:tcPr>
            <w:tcW w:w="15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70 &gt; u &gt;= 40</w:t>
            </w:r>
          </w:p>
        </w:tc>
        <w:tc>
          <w:tcPr>
            <w:tcW w:w="2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237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25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19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19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22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r>
      <w:tr w:rsidR="00041A40" w:rsidRPr="00041A40" w:rsidTr="00CD6560">
        <w:trPr>
          <w:trHeight w:val="287"/>
        </w:trPr>
        <w:tc>
          <w:tcPr>
            <w:tcW w:w="15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40 &gt; u &gt;=10</w:t>
            </w:r>
          </w:p>
        </w:tc>
        <w:tc>
          <w:tcPr>
            <w:tcW w:w="2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237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25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19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19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22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r>
      <w:tr w:rsidR="00041A40" w:rsidRPr="00041A40" w:rsidTr="00CD6560">
        <w:trPr>
          <w:trHeight w:val="272"/>
        </w:trPr>
        <w:tc>
          <w:tcPr>
            <w:tcW w:w="15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10 &gt; u &gt;= 5</w:t>
            </w:r>
          </w:p>
        </w:tc>
        <w:tc>
          <w:tcPr>
            <w:tcW w:w="2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237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250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19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19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22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r>
    </w:tbl>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r w:rsidRPr="00041A40">
        <w:rPr>
          <w:rFonts w:eastAsia="Times New Roman" w:cs="Times New Roman"/>
          <w:sz w:val="22"/>
          <w:szCs w:val="22"/>
          <w:lang w:eastAsia="en-US"/>
        </w:rPr>
        <w:t>Таблица А.2</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bookmarkStart w:id="35" w:name="Par519"/>
      <w:bookmarkEnd w:id="35"/>
      <w:r w:rsidRPr="00041A40">
        <w:rPr>
          <w:rFonts w:eastAsia="Times New Roman" w:cs="Times New Roman"/>
          <w:sz w:val="22"/>
          <w:szCs w:val="22"/>
          <w:lang w:eastAsia="en-US"/>
        </w:rPr>
        <w:t>Классификация кратковременных прерываний напряжения</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по длительности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bl>
      <w:tblPr>
        <w:tblW w:w="14459" w:type="dxa"/>
        <w:tblInd w:w="102" w:type="dxa"/>
        <w:tblLayout w:type="fixed"/>
        <w:tblCellMar>
          <w:top w:w="75" w:type="dxa"/>
          <w:left w:w="0" w:type="dxa"/>
          <w:bottom w:w="75" w:type="dxa"/>
          <w:right w:w="0" w:type="dxa"/>
        </w:tblCellMar>
        <w:tblLook w:val="0000" w:firstRow="0" w:lastRow="0" w:firstColumn="0" w:lastColumn="0" w:noHBand="0" w:noVBand="0"/>
      </w:tblPr>
      <w:tblGrid>
        <w:gridCol w:w="1721"/>
        <w:gridCol w:w="1681"/>
        <w:gridCol w:w="1843"/>
        <w:gridCol w:w="2126"/>
        <w:gridCol w:w="2268"/>
        <w:gridCol w:w="2410"/>
        <w:gridCol w:w="2410"/>
      </w:tblGrid>
      <w:tr w:rsidR="00041A40" w:rsidRPr="00041A40" w:rsidTr="00CD6560">
        <w:trPr>
          <w:trHeight w:val="510"/>
        </w:trPr>
        <w:tc>
          <w:tcPr>
            <w:tcW w:w="17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Остаточное напряжение u, % опорного напряжения</w:t>
            </w:r>
          </w:p>
        </w:tc>
        <w:tc>
          <w:tcPr>
            <w:tcW w:w="12738"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Длительность прерывания напряжения </w:t>
            </w:r>
            <w:r>
              <w:rPr>
                <w:rFonts w:eastAsia="Times New Roman" w:cs="Times New Roman"/>
                <w:noProof/>
                <w:position w:val="-14"/>
                <w:sz w:val="22"/>
                <w:szCs w:val="22"/>
              </w:rPr>
              <w:drawing>
                <wp:inline distT="0" distB="0" distL="0" distR="0">
                  <wp:extent cx="314325" cy="266700"/>
                  <wp:effectExtent l="0" t="0" r="952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rsidRPr="00041A40">
              <w:rPr>
                <w:rFonts w:eastAsia="Times New Roman" w:cs="Times New Roman"/>
                <w:sz w:val="22"/>
                <w:szCs w:val="22"/>
                <w:lang w:eastAsia="en-US"/>
              </w:rPr>
              <w:t>, с</w:t>
            </w:r>
          </w:p>
        </w:tc>
      </w:tr>
      <w:tr w:rsidR="00041A40" w:rsidRPr="00041A40" w:rsidTr="00CD6560">
        <w:trPr>
          <w:trHeight w:val="144"/>
        </w:trPr>
        <w:tc>
          <w:tcPr>
            <w:tcW w:w="17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c>
        <w:tc>
          <w:tcPr>
            <w:tcW w:w="16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695325" cy="266700"/>
                  <wp:effectExtent l="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95325" cy="266700"/>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923925" cy="266700"/>
                  <wp:effectExtent l="0" t="0" r="952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23925" cy="266700"/>
                          </a:xfrm>
                          <a:prstGeom prst="rect">
                            <a:avLst/>
                          </a:prstGeom>
                          <a:noFill/>
                          <a:ln>
                            <a:noFill/>
                          </a:ln>
                        </pic:spPr>
                      </pic:pic>
                    </a:graphicData>
                  </a:graphic>
                </wp:inline>
              </w:drawing>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781050" cy="2667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781050" cy="266700"/>
                          </a:xfrm>
                          <a:prstGeom prst="rect">
                            <a:avLst/>
                          </a:prstGeom>
                          <a:noFill/>
                          <a:ln>
                            <a:noFill/>
                          </a:ln>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885825" cy="266700"/>
                  <wp:effectExtent l="0" t="0" r="952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990600" cy="2667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1047750" cy="26670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047750" cy="266700"/>
                          </a:xfrm>
                          <a:prstGeom prst="rect">
                            <a:avLst/>
                          </a:prstGeom>
                          <a:noFill/>
                          <a:ln>
                            <a:noFill/>
                          </a:ln>
                        </pic:spPr>
                      </pic:pic>
                    </a:graphicData>
                  </a:graphic>
                </wp:inline>
              </w:drawing>
            </w:r>
          </w:p>
        </w:tc>
      </w:tr>
      <w:tr w:rsidR="00041A40" w:rsidRPr="00041A40" w:rsidTr="00CD6560">
        <w:trPr>
          <w:trHeight w:val="270"/>
        </w:trPr>
        <w:tc>
          <w:tcPr>
            <w:tcW w:w="1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5 &gt; u &gt;= 0</w:t>
            </w:r>
          </w:p>
        </w:tc>
        <w:tc>
          <w:tcPr>
            <w:tcW w:w="16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p>
        </w:tc>
      </w:tr>
    </w:tbl>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Провалы и прерывания напряжения измеряют в соответствии с ГОСТ 30804.4.30 на основе измерений среднеквадратических значений напряжения, обновляемых для каждого полупериода. Параметрами провалов, прерываний напряжения, являющимися объектами рассмотрения в настоящем стандарте, являются остаточное напряжение и длительность.</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В электрических сетях низкого напряжения, четырехпроводных трехфазных системах учитывают фазные напряжения; в трехпроводных трехфазных системах учитывают линейные напряжения; в случае однофазного подключения учитывают питающее напряжение (фазное или линейное в соответствии с подключением потребителя).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Пороговое значение начала провала напряжения принимают равным 90% опорного напряжения. Пороговое значение начала прерывания напряжения принимают равным 5% опорного 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Примечание. При измерениях в многофазных системах рекомендуется определять и записывать число фаз, затрагиваемых каждым событием.</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Для электрических сетей трехфазных систем следует использовать многофазное сведение данных, которое заключается в определении эквивалентного события, характеризующегося одной длительностью и одним остаточным напряжением.</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Результаты измерений характеристик провалов и прерываний напряжения в электрических сетях по данным </w:t>
      </w:r>
      <w:hyperlink w:anchor="Par810" w:history="1">
        <w:r w:rsidRPr="00041A40">
          <w:rPr>
            <w:rFonts w:eastAsia="Times New Roman" w:cs="Times New Roman"/>
            <w:color w:val="0000FF"/>
            <w:sz w:val="22"/>
            <w:szCs w:val="22"/>
            <w:lang w:eastAsia="en-US"/>
          </w:rPr>
          <w:t>[2]</w:t>
        </w:r>
      </w:hyperlink>
      <w:r w:rsidRPr="00041A40">
        <w:rPr>
          <w:rFonts w:eastAsia="Times New Roman" w:cs="Times New Roman"/>
          <w:sz w:val="22"/>
          <w:szCs w:val="22"/>
          <w:lang w:eastAsia="en-US"/>
        </w:rPr>
        <w:t xml:space="preserve"> приведены в таблицах А.3 и </w:t>
      </w:r>
      <w:hyperlink w:anchor="Par590" w:history="1">
        <w:r w:rsidRPr="00041A40">
          <w:rPr>
            <w:rFonts w:eastAsia="Times New Roman" w:cs="Times New Roman"/>
            <w:color w:val="0000FF"/>
            <w:sz w:val="22"/>
            <w:szCs w:val="22"/>
            <w:lang w:eastAsia="en-US"/>
          </w:rPr>
          <w:t>А.4</w:t>
        </w:r>
      </w:hyperlink>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r w:rsidRPr="00041A40">
        <w:rPr>
          <w:rFonts w:eastAsia="Times New Roman" w:cs="Times New Roman"/>
          <w:sz w:val="22"/>
          <w:szCs w:val="22"/>
          <w:lang w:eastAsia="en-US"/>
        </w:rPr>
        <w:t>Таблица А.3</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Результаты измерений характеристик провалов и прерываний</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напряжения для кабельных электрических сетей</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bl>
      <w:tblPr>
        <w:tblW w:w="14534" w:type="dxa"/>
        <w:tblInd w:w="102" w:type="dxa"/>
        <w:tblLayout w:type="fixed"/>
        <w:tblCellMar>
          <w:top w:w="75" w:type="dxa"/>
          <w:left w:w="0" w:type="dxa"/>
          <w:bottom w:w="75" w:type="dxa"/>
          <w:right w:w="0" w:type="dxa"/>
        </w:tblCellMar>
        <w:tblLook w:val="0000" w:firstRow="0" w:lastRow="0" w:firstColumn="0" w:lastColumn="0" w:noHBand="0" w:noVBand="0"/>
      </w:tblPr>
      <w:tblGrid>
        <w:gridCol w:w="1513"/>
        <w:gridCol w:w="2173"/>
        <w:gridCol w:w="2126"/>
        <w:gridCol w:w="1985"/>
        <w:gridCol w:w="1842"/>
        <w:gridCol w:w="2268"/>
        <w:gridCol w:w="2627"/>
      </w:tblGrid>
      <w:tr w:rsidR="00041A40" w:rsidRPr="00041A40" w:rsidTr="00CD6560">
        <w:trPr>
          <w:trHeight w:val="513"/>
        </w:trPr>
        <w:tc>
          <w:tcPr>
            <w:tcW w:w="151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Остаточное напряжение u, % опорного напряжения</w:t>
            </w:r>
          </w:p>
        </w:tc>
        <w:tc>
          <w:tcPr>
            <w:tcW w:w="13021"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Длительность провала (прерывания) напряжения </w:t>
            </w:r>
            <w:r>
              <w:rPr>
                <w:rFonts w:eastAsia="Times New Roman" w:cs="Times New Roman"/>
                <w:noProof/>
                <w:position w:val="-12"/>
                <w:sz w:val="22"/>
                <w:szCs w:val="22"/>
              </w:rPr>
              <w:drawing>
                <wp:inline distT="0" distB="0" distL="0" distR="0">
                  <wp:extent cx="266700" cy="257175"/>
                  <wp:effectExtent l="0" t="0" r="0" b="952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041A40">
              <w:rPr>
                <w:rFonts w:eastAsia="Times New Roman" w:cs="Times New Roman"/>
                <w:sz w:val="22"/>
                <w:szCs w:val="22"/>
                <w:lang w:eastAsia="en-US"/>
              </w:rPr>
              <w:t>, с</w:t>
            </w:r>
          </w:p>
        </w:tc>
      </w:tr>
      <w:tr w:rsidR="00041A40" w:rsidRPr="00041A40" w:rsidTr="00CD6560">
        <w:trPr>
          <w:trHeight w:val="145"/>
        </w:trPr>
        <w:tc>
          <w:tcPr>
            <w:tcW w:w="151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c>
        <w:tc>
          <w:tcPr>
            <w:tcW w:w="217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1085850" cy="257175"/>
                  <wp:effectExtent l="0" t="0" r="0"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085850" cy="257175"/>
                          </a:xfrm>
                          <a:prstGeom prst="rect">
                            <a:avLst/>
                          </a:prstGeom>
                          <a:noFill/>
                          <a:ln>
                            <a:noFill/>
                          </a:ln>
                        </pic:spPr>
                      </pic:pic>
                    </a:graphicData>
                  </a:graphic>
                </wp:inline>
              </w:drawing>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1019175" cy="25717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019175" cy="257175"/>
                          </a:xfrm>
                          <a:prstGeom prst="rect">
                            <a:avLst/>
                          </a:prstGeom>
                          <a:noFill/>
                          <a:ln>
                            <a:noFill/>
                          </a:ln>
                        </pic:spPr>
                      </pic:pic>
                    </a:graphicData>
                  </a:graphic>
                </wp:inline>
              </w:drawing>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876300" cy="25717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76300" cy="257175"/>
                          </a:xfrm>
                          <a:prstGeom prst="rect">
                            <a:avLst/>
                          </a:prstGeom>
                          <a:noFill/>
                          <a:ln>
                            <a:noFill/>
                          </a:ln>
                        </pic:spPr>
                      </pic:pic>
                    </a:graphicData>
                  </a:graphic>
                </wp:inline>
              </w:drawing>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723900" cy="257175"/>
                  <wp:effectExtent l="0" t="0" r="0"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847725" cy="257175"/>
                  <wp:effectExtent l="0" t="0" r="9525"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47725" cy="257175"/>
                          </a:xfrm>
                          <a:prstGeom prst="rect">
                            <a:avLst/>
                          </a:prstGeom>
                          <a:noFill/>
                          <a:ln>
                            <a:noFill/>
                          </a:ln>
                        </pic:spPr>
                      </pic:pic>
                    </a:graphicData>
                  </a:graphic>
                </wp:inline>
              </w:drawing>
            </w:r>
          </w:p>
        </w:tc>
        <w:tc>
          <w:tcPr>
            <w:tcW w:w="26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933450" cy="25717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33450" cy="257175"/>
                          </a:xfrm>
                          <a:prstGeom prst="rect">
                            <a:avLst/>
                          </a:prstGeom>
                          <a:noFill/>
                          <a:ln>
                            <a:noFill/>
                          </a:ln>
                        </pic:spPr>
                      </pic:pic>
                    </a:graphicData>
                  </a:graphic>
                </wp:inline>
              </w:drawing>
            </w:r>
          </w:p>
        </w:tc>
      </w:tr>
      <w:tr w:rsidR="00041A40" w:rsidRPr="00041A40" w:rsidTr="00CD6560">
        <w:trPr>
          <w:trHeight w:val="271"/>
        </w:trPr>
        <w:tc>
          <w:tcPr>
            <w:tcW w:w="15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90 &gt; u &gt;= 70</w:t>
            </w:r>
          </w:p>
        </w:tc>
        <w:tc>
          <w:tcPr>
            <w:tcW w:w="217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63</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38</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8</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c>
          <w:tcPr>
            <w:tcW w:w="26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w:t>
            </w:r>
          </w:p>
        </w:tc>
      </w:tr>
      <w:tr w:rsidR="00041A40" w:rsidRPr="00041A40" w:rsidTr="00CD6560">
        <w:trPr>
          <w:trHeight w:val="271"/>
        </w:trPr>
        <w:tc>
          <w:tcPr>
            <w:tcW w:w="15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70 &gt; u &gt;= 40</w:t>
            </w:r>
          </w:p>
        </w:tc>
        <w:tc>
          <w:tcPr>
            <w:tcW w:w="217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8</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29</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4</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w:t>
            </w:r>
          </w:p>
        </w:tc>
        <w:tc>
          <w:tcPr>
            <w:tcW w:w="26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w:t>
            </w:r>
          </w:p>
        </w:tc>
      </w:tr>
      <w:tr w:rsidR="00041A40" w:rsidRPr="00041A40" w:rsidTr="00CD6560">
        <w:trPr>
          <w:trHeight w:val="286"/>
        </w:trPr>
        <w:tc>
          <w:tcPr>
            <w:tcW w:w="15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40 &gt; u &gt;= 0</w:t>
            </w:r>
          </w:p>
        </w:tc>
        <w:tc>
          <w:tcPr>
            <w:tcW w:w="217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6</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w:t>
            </w:r>
          </w:p>
        </w:tc>
        <w:tc>
          <w:tcPr>
            <w:tcW w:w="26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w:t>
            </w:r>
          </w:p>
        </w:tc>
      </w:tr>
      <w:tr w:rsidR="00041A40" w:rsidRPr="00041A40" w:rsidTr="00CD6560">
        <w:trPr>
          <w:trHeight w:val="271"/>
        </w:trPr>
        <w:tc>
          <w:tcPr>
            <w:tcW w:w="15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u = 0</w:t>
            </w:r>
          </w:p>
        </w:tc>
        <w:tc>
          <w:tcPr>
            <w:tcW w:w="217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c>
          <w:tcPr>
            <w:tcW w:w="26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10</w:t>
            </w:r>
          </w:p>
        </w:tc>
      </w:tr>
    </w:tbl>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r w:rsidRPr="00041A40">
        <w:rPr>
          <w:rFonts w:eastAsia="Times New Roman" w:cs="Times New Roman"/>
          <w:sz w:val="22"/>
          <w:szCs w:val="22"/>
          <w:lang w:eastAsia="en-US"/>
        </w:rPr>
        <w:t>Таблица А.4</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bookmarkStart w:id="36" w:name="Par590"/>
      <w:bookmarkEnd w:id="36"/>
      <w:r w:rsidRPr="00041A40">
        <w:rPr>
          <w:rFonts w:eastAsia="Times New Roman" w:cs="Times New Roman"/>
          <w:sz w:val="22"/>
          <w:szCs w:val="22"/>
          <w:lang w:eastAsia="en-US"/>
        </w:rPr>
        <w:t>Результаты измерений характеристик провалов и прерываний</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напряжения для смешанных (кабельных и воздушных)</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электрических сетей</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bl>
      <w:tblPr>
        <w:tblW w:w="14459" w:type="dxa"/>
        <w:tblInd w:w="102" w:type="dxa"/>
        <w:tblLayout w:type="fixed"/>
        <w:tblCellMar>
          <w:top w:w="75" w:type="dxa"/>
          <w:left w:w="0" w:type="dxa"/>
          <w:bottom w:w="75" w:type="dxa"/>
          <w:right w:w="0" w:type="dxa"/>
        </w:tblCellMar>
        <w:tblLook w:val="0000" w:firstRow="0" w:lastRow="0" w:firstColumn="0" w:lastColumn="0" w:noHBand="0" w:noVBand="0"/>
      </w:tblPr>
      <w:tblGrid>
        <w:gridCol w:w="1708"/>
        <w:gridCol w:w="1961"/>
        <w:gridCol w:w="1834"/>
        <w:gridCol w:w="1834"/>
        <w:gridCol w:w="1712"/>
        <w:gridCol w:w="1834"/>
        <w:gridCol w:w="3576"/>
      </w:tblGrid>
      <w:tr w:rsidR="00041A40" w:rsidRPr="00041A40" w:rsidTr="00CD6560">
        <w:trPr>
          <w:trHeight w:val="510"/>
        </w:trPr>
        <w:tc>
          <w:tcPr>
            <w:tcW w:w="170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Остаточное напряжение u, % опорного напряжения</w:t>
            </w:r>
          </w:p>
        </w:tc>
        <w:tc>
          <w:tcPr>
            <w:tcW w:w="12751"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Длительность провала (прерывания) напряжения </w:t>
            </w:r>
            <w:r>
              <w:rPr>
                <w:rFonts w:eastAsia="Times New Roman" w:cs="Times New Roman"/>
                <w:noProof/>
                <w:position w:val="-12"/>
                <w:sz w:val="22"/>
                <w:szCs w:val="22"/>
              </w:rPr>
              <w:drawing>
                <wp:inline distT="0" distB="0" distL="0" distR="0">
                  <wp:extent cx="266700" cy="257175"/>
                  <wp:effectExtent l="0" t="0" r="0"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041A40">
              <w:rPr>
                <w:rFonts w:eastAsia="Times New Roman" w:cs="Times New Roman"/>
                <w:sz w:val="22"/>
                <w:szCs w:val="22"/>
                <w:lang w:eastAsia="en-US"/>
              </w:rPr>
              <w:t>, с</w:t>
            </w:r>
          </w:p>
        </w:tc>
      </w:tr>
      <w:tr w:rsidR="00041A40" w:rsidRPr="00041A40" w:rsidTr="00CD6560">
        <w:trPr>
          <w:trHeight w:val="144"/>
        </w:trPr>
        <w:tc>
          <w:tcPr>
            <w:tcW w:w="170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c>
        <w:tc>
          <w:tcPr>
            <w:tcW w:w="19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1085850" cy="25717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085850" cy="257175"/>
                          </a:xfrm>
                          <a:prstGeom prst="rect">
                            <a:avLst/>
                          </a:prstGeom>
                          <a:noFill/>
                          <a:ln>
                            <a:noFill/>
                          </a:ln>
                        </pic:spPr>
                      </pic:pic>
                    </a:graphicData>
                  </a:graphic>
                </wp:inline>
              </w:drawing>
            </w:r>
          </w:p>
        </w:tc>
        <w:tc>
          <w:tcPr>
            <w:tcW w:w="18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1019175" cy="25717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019175" cy="257175"/>
                          </a:xfrm>
                          <a:prstGeom prst="rect">
                            <a:avLst/>
                          </a:prstGeom>
                          <a:noFill/>
                          <a:ln>
                            <a:noFill/>
                          </a:ln>
                        </pic:spPr>
                      </pic:pic>
                    </a:graphicData>
                  </a:graphic>
                </wp:inline>
              </w:drawing>
            </w:r>
          </w:p>
        </w:tc>
        <w:tc>
          <w:tcPr>
            <w:tcW w:w="18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876300" cy="25717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76300" cy="257175"/>
                          </a:xfrm>
                          <a:prstGeom prst="rect">
                            <a:avLst/>
                          </a:prstGeom>
                          <a:noFill/>
                          <a:ln>
                            <a:noFill/>
                          </a:ln>
                        </pic:spPr>
                      </pic:pic>
                    </a:graphicData>
                  </a:graphic>
                </wp:inline>
              </w:drawing>
            </w:r>
          </w:p>
        </w:tc>
        <w:tc>
          <w:tcPr>
            <w:tcW w:w="17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723900" cy="25717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p>
        </w:tc>
        <w:tc>
          <w:tcPr>
            <w:tcW w:w="18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847725" cy="257175"/>
                  <wp:effectExtent l="0" t="0" r="9525"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47725" cy="257175"/>
                          </a:xfrm>
                          <a:prstGeom prst="rect">
                            <a:avLst/>
                          </a:prstGeom>
                          <a:noFill/>
                          <a:ln>
                            <a:noFill/>
                          </a:ln>
                        </pic:spPr>
                      </pic:pic>
                    </a:graphicData>
                  </a:graphic>
                </wp:inline>
              </w:drawing>
            </w:r>
          </w:p>
        </w:tc>
        <w:tc>
          <w:tcPr>
            <w:tcW w:w="35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933450" cy="257175"/>
                  <wp:effectExtent l="0" t="0" r="0"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33450" cy="257175"/>
                          </a:xfrm>
                          <a:prstGeom prst="rect">
                            <a:avLst/>
                          </a:prstGeom>
                          <a:noFill/>
                          <a:ln>
                            <a:noFill/>
                          </a:ln>
                        </pic:spPr>
                      </pic:pic>
                    </a:graphicData>
                  </a:graphic>
                </wp:inline>
              </w:drawing>
            </w:r>
          </w:p>
        </w:tc>
      </w:tr>
      <w:tr w:rsidR="00041A40" w:rsidRPr="00041A40" w:rsidTr="00CD6560">
        <w:trPr>
          <w:trHeight w:val="285"/>
        </w:trPr>
        <w:tc>
          <w:tcPr>
            <w:tcW w:w="1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90 &gt; u &gt;= 70</w:t>
            </w:r>
          </w:p>
        </w:tc>
        <w:tc>
          <w:tcPr>
            <w:tcW w:w="19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111</w:t>
            </w:r>
          </w:p>
        </w:tc>
        <w:tc>
          <w:tcPr>
            <w:tcW w:w="18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99</w:t>
            </w:r>
          </w:p>
        </w:tc>
        <w:tc>
          <w:tcPr>
            <w:tcW w:w="18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20</w:t>
            </w:r>
          </w:p>
        </w:tc>
        <w:tc>
          <w:tcPr>
            <w:tcW w:w="17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8</w:t>
            </w:r>
          </w:p>
        </w:tc>
        <w:tc>
          <w:tcPr>
            <w:tcW w:w="18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w:t>
            </w:r>
          </w:p>
        </w:tc>
        <w:tc>
          <w:tcPr>
            <w:tcW w:w="35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r>
      <w:tr w:rsidR="00041A40" w:rsidRPr="00041A40" w:rsidTr="00CD6560">
        <w:trPr>
          <w:trHeight w:val="270"/>
        </w:trPr>
        <w:tc>
          <w:tcPr>
            <w:tcW w:w="1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70 &gt; u &gt;= 40</w:t>
            </w:r>
          </w:p>
        </w:tc>
        <w:tc>
          <w:tcPr>
            <w:tcW w:w="19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50</w:t>
            </w:r>
          </w:p>
        </w:tc>
        <w:tc>
          <w:tcPr>
            <w:tcW w:w="18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59</w:t>
            </w:r>
          </w:p>
        </w:tc>
        <w:tc>
          <w:tcPr>
            <w:tcW w:w="18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14</w:t>
            </w:r>
          </w:p>
        </w:tc>
        <w:tc>
          <w:tcPr>
            <w:tcW w:w="17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w:t>
            </w:r>
          </w:p>
        </w:tc>
        <w:tc>
          <w:tcPr>
            <w:tcW w:w="18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c>
          <w:tcPr>
            <w:tcW w:w="35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w:t>
            </w:r>
          </w:p>
        </w:tc>
      </w:tr>
      <w:tr w:rsidR="00041A40" w:rsidRPr="00041A40" w:rsidTr="00CD6560">
        <w:trPr>
          <w:trHeight w:val="285"/>
        </w:trPr>
        <w:tc>
          <w:tcPr>
            <w:tcW w:w="1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40 &gt; u &gt;= 0</w:t>
            </w:r>
          </w:p>
        </w:tc>
        <w:tc>
          <w:tcPr>
            <w:tcW w:w="19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5</w:t>
            </w:r>
          </w:p>
        </w:tc>
        <w:tc>
          <w:tcPr>
            <w:tcW w:w="18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26</w:t>
            </w:r>
          </w:p>
        </w:tc>
        <w:tc>
          <w:tcPr>
            <w:tcW w:w="18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11</w:t>
            </w:r>
          </w:p>
        </w:tc>
        <w:tc>
          <w:tcPr>
            <w:tcW w:w="17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4</w:t>
            </w:r>
          </w:p>
        </w:tc>
        <w:tc>
          <w:tcPr>
            <w:tcW w:w="18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c>
          <w:tcPr>
            <w:tcW w:w="35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w:t>
            </w:r>
          </w:p>
        </w:tc>
      </w:tr>
      <w:tr w:rsidR="00041A40" w:rsidRPr="00041A40" w:rsidTr="00CD6560">
        <w:trPr>
          <w:trHeight w:val="270"/>
        </w:trPr>
        <w:tc>
          <w:tcPr>
            <w:tcW w:w="1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u = 0</w:t>
            </w:r>
          </w:p>
        </w:tc>
        <w:tc>
          <w:tcPr>
            <w:tcW w:w="19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5</w:t>
            </w:r>
          </w:p>
        </w:tc>
        <w:tc>
          <w:tcPr>
            <w:tcW w:w="18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25</w:t>
            </w:r>
          </w:p>
        </w:tc>
        <w:tc>
          <w:tcPr>
            <w:tcW w:w="18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104</w:t>
            </w:r>
          </w:p>
        </w:tc>
        <w:tc>
          <w:tcPr>
            <w:tcW w:w="17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10</w:t>
            </w:r>
          </w:p>
        </w:tc>
        <w:tc>
          <w:tcPr>
            <w:tcW w:w="18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15</w:t>
            </w:r>
          </w:p>
        </w:tc>
        <w:tc>
          <w:tcPr>
            <w:tcW w:w="35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24</w:t>
            </w:r>
          </w:p>
        </w:tc>
      </w:tr>
    </w:tbl>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sectPr w:rsidR="00041A40" w:rsidRPr="00041A40">
          <w:pgSz w:w="16838" w:h="11905" w:orient="landscape"/>
          <w:pgMar w:top="1701" w:right="1134" w:bottom="850" w:left="1134" w:header="720" w:footer="720" w:gutter="0"/>
          <w:cols w:space="720"/>
          <w:noEndnote/>
        </w:sect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А.2. Перенапряжения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Перенапряжения измеряют в соответствии с ГОСТ 30804.4.30, подраздел 5.4 на основе измерений среднеквадратических значений напряжения, обновляемых для каждого полупериода. Пороговое значение начала перенапряжения принимают равным 110% опорного напряжения.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В среднем за год в точке присоединения возможны около 30 перенапряжений. При обрыве нулевого проводника в трехфазных электрических сетях напряжением до 1 кВ, работающих с глухо заземленной нейтралью, возникают временные перенапряжения между фазой и землей. Уровень таких перенапряжений при значительной несимметрии фазных нагрузок может достигать значений линейного напряжения, а длительность - нескольких часов.</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В системах низкого напряжения, при определенных обстоятельствах, неисправность, произошедшая электрически выше трансформатора, может породить временные перенапряжения на стороне низкого напряжения на время, в течение которого протекает ток, вызванный неисправностью. Такие перенапряжения в общем случае не превышают 1,5 кВ.</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Для систем среднего напряжения ожидаемая величина такого перенапряжения зависит от типа заземления в системе. В системах с жестко заземленной нейтралью или с заземлением нейтрали через сопротивление перенапряжение обычно не превышает </w:t>
      </w:r>
      <w:r>
        <w:rPr>
          <w:rFonts w:eastAsia="Times New Roman" w:cs="Times New Roman"/>
          <w:noProof/>
          <w:position w:val="-12"/>
          <w:sz w:val="22"/>
          <w:szCs w:val="22"/>
        </w:rPr>
        <w:drawing>
          <wp:inline distT="0" distB="0" distL="0" distR="0">
            <wp:extent cx="419100" cy="257175"/>
            <wp:effectExtent l="0" t="0" r="0"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В системах с изолированной нейтралью или с заземлением нейтрали через реактор перенапряжение обычно не превышает </w:t>
      </w:r>
      <w:r>
        <w:rPr>
          <w:rFonts w:eastAsia="Times New Roman" w:cs="Times New Roman"/>
          <w:noProof/>
          <w:position w:val="-12"/>
          <w:sz w:val="22"/>
          <w:szCs w:val="22"/>
        </w:rPr>
        <w:drawing>
          <wp:inline distT="0" distB="0" distL="0" distR="0">
            <wp:extent cx="438150" cy="25717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38150" cy="257175"/>
                    </a:xfrm>
                    <a:prstGeom prst="rect">
                      <a:avLst/>
                    </a:prstGeom>
                    <a:noFill/>
                    <a:ln>
                      <a:noFill/>
                    </a:ln>
                  </pic:spPr>
                </pic:pic>
              </a:graphicData>
            </a:graphic>
          </wp:inline>
        </w:drawing>
      </w:r>
      <w:r w:rsidRPr="00041A40">
        <w:rPr>
          <w:rFonts w:eastAsia="Times New Roman" w:cs="Times New Roman"/>
          <w:sz w:val="22"/>
          <w:szCs w:val="22"/>
          <w:lang w:eastAsia="en-US"/>
        </w:rPr>
        <w:t>. Тип заземления указывается оператором сети.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outlineLvl w:val="0"/>
        <w:rPr>
          <w:rFonts w:eastAsia="Times New Roman" w:cs="Times New Roman"/>
          <w:sz w:val="22"/>
          <w:szCs w:val="22"/>
          <w:lang w:eastAsia="en-US"/>
        </w:rPr>
      </w:pPr>
      <w:bookmarkStart w:id="37" w:name="Par641"/>
      <w:bookmarkEnd w:id="37"/>
      <w:r w:rsidRPr="00041A40">
        <w:rPr>
          <w:rFonts w:eastAsia="Times New Roman" w:cs="Times New Roman"/>
          <w:sz w:val="22"/>
          <w:szCs w:val="22"/>
          <w:lang w:eastAsia="en-US"/>
        </w:rPr>
        <w:t>Приложение Б</w:t>
      </w: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r w:rsidRPr="00041A40">
        <w:rPr>
          <w:rFonts w:eastAsia="Times New Roman" w:cs="Times New Roman"/>
          <w:sz w:val="22"/>
          <w:szCs w:val="22"/>
          <w:lang w:eastAsia="en-US"/>
        </w:rPr>
        <w:t>(справочное)</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bookmarkStart w:id="38" w:name="Par644"/>
      <w:bookmarkEnd w:id="38"/>
      <w:r w:rsidRPr="00041A40">
        <w:rPr>
          <w:rFonts w:eastAsia="Times New Roman" w:cs="Times New Roman"/>
          <w:sz w:val="22"/>
          <w:szCs w:val="22"/>
          <w:lang w:eastAsia="en-US"/>
        </w:rPr>
        <w:t>ЗНАЧЕНИЯ ИМПУЛЬСНЫХ НАПРЯЖЕНИЙ, ВЫЗЫВАЕМЫХ МОЛНИЕВЫМИ</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РАЗРЯДАМИ И ПРОЦЕССАМИ КОММУТАЦИИ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Расчетные значения импульсных напряжений, вызываемых молниевыми разрядами в точках присоединения к электрической сети, показанных на </w:t>
      </w:r>
      <w:hyperlink w:anchor="Par658" w:history="1">
        <w:r w:rsidRPr="00041A40">
          <w:rPr>
            <w:rFonts w:eastAsia="Times New Roman" w:cs="Times New Roman"/>
            <w:color w:val="0000FF"/>
            <w:sz w:val="22"/>
            <w:szCs w:val="22"/>
            <w:lang w:eastAsia="en-US"/>
          </w:rPr>
          <w:t>рисунке Б.1</w:t>
        </w:r>
      </w:hyperlink>
      <w:r w:rsidRPr="00041A40">
        <w:rPr>
          <w:rFonts w:eastAsia="Times New Roman" w:cs="Times New Roman"/>
          <w:sz w:val="22"/>
          <w:szCs w:val="22"/>
          <w:lang w:eastAsia="en-US"/>
        </w:rPr>
        <w:t>, приведены для фазных номинальных напряжений сети.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3105150" cy="315277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105150" cy="3152775"/>
                    </a:xfrm>
                    <a:prstGeom prst="rect">
                      <a:avLst/>
                    </a:prstGeom>
                    <a:noFill/>
                    <a:ln>
                      <a:noFill/>
                    </a:ln>
                  </pic:spPr>
                </pic:pic>
              </a:graphicData>
            </a:graphic>
          </wp:inline>
        </w:drawing>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ВЛ - воздушная линия; КЛ - кабельная линия; РП-А, РП-Б,</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РП-В - распределительные подстанции; </w:t>
      </w:r>
      <w:r>
        <w:rPr>
          <w:rFonts w:eastAsia="Times New Roman" w:cs="Times New Roman"/>
          <w:noProof/>
          <w:position w:val="-12"/>
          <w:sz w:val="22"/>
          <w:szCs w:val="22"/>
        </w:rPr>
        <w:drawing>
          <wp:inline distT="0" distB="0" distL="0" distR="0">
            <wp:extent cx="276225" cy="25717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7622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w:t>
      </w:r>
      <w:r>
        <w:rPr>
          <w:rFonts w:eastAsia="Times New Roman" w:cs="Times New Roman"/>
          <w:noProof/>
          <w:position w:val="-12"/>
          <w:sz w:val="22"/>
          <w:szCs w:val="22"/>
        </w:rPr>
        <w:drawing>
          <wp:inline distT="0" distB="0" distL="0" distR="0">
            <wp:extent cx="295275" cy="25717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 силовые</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трансформаторы; </w:t>
      </w:r>
      <w:r>
        <w:rPr>
          <w:rFonts w:eastAsia="Times New Roman" w:cs="Times New Roman"/>
          <w:noProof/>
          <w:position w:val="-12"/>
          <w:sz w:val="22"/>
          <w:szCs w:val="22"/>
        </w:rPr>
        <w:drawing>
          <wp:inline distT="0" distB="0" distL="0" distR="0">
            <wp:extent cx="266700" cy="2571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w:t>
      </w:r>
      <w:r>
        <w:rPr>
          <w:rFonts w:eastAsia="Times New Roman" w:cs="Times New Roman"/>
          <w:noProof/>
          <w:position w:val="-12"/>
          <w:sz w:val="22"/>
          <w:szCs w:val="22"/>
        </w:rPr>
        <w:drawing>
          <wp:inline distT="0" distB="0" distL="0" distR="0">
            <wp:extent cx="266700" cy="25717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 напряжения на первичной</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и вторичной обмотках силового трансформатора;</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a, b, c, d, e, f, g, k, l, m, n - возможные точки</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присоединения к электрической сети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bookmarkStart w:id="39" w:name="Par658"/>
      <w:bookmarkEnd w:id="39"/>
      <w:r w:rsidRPr="00041A40">
        <w:rPr>
          <w:rFonts w:eastAsia="Times New Roman" w:cs="Times New Roman"/>
          <w:sz w:val="22"/>
          <w:szCs w:val="22"/>
          <w:lang w:eastAsia="en-US"/>
        </w:rPr>
        <w:t>Рисунок Б.1. Точки присоединения к электрической сети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Формы импульсов, характерные для точек присоединения на рисунке Б.1, показаны на рисунках Б.2 - </w:t>
      </w:r>
      <w:hyperlink w:anchor="Par678" w:history="1">
        <w:r w:rsidRPr="00041A40">
          <w:rPr>
            <w:rFonts w:eastAsia="Times New Roman" w:cs="Times New Roman"/>
            <w:color w:val="0000FF"/>
            <w:sz w:val="22"/>
            <w:szCs w:val="22"/>
            <w:lang w:eastAsia="en-US"/>
          </w:rPr>
          <w:t>Б.4</w:t>
        </w:r>
      </w:hyperlink>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3181350" cy="19240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181350" cy="1924050"/>
                    </a:xfrm>
                    <a:prstGeom prst="rect">
                      <a:avLst/>
                    </a:prstGeom>
                    <a:noFill/>
                    <a:ln>
                      <a:noFill/>
                    </a:ln>
                  </pic:spPr>
                </pic:pic>
              </a:graphicData>
            </a:graphic>
          </wp:inline>
        </w:drawing>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Рисунок Б.2. Форма импульсов, характерная для точек</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присоединения a, c, d, e на </w:t>
      </w:r>
      <w:hyperlink w:anchor="Par658" w:history="1">
        <w:r w:rsidRPr="00041A40">
          <w:rPr>
            <w:rFonts w:eastAsia="Times New Roman" w:cs="Times New Roman"/>
            <w:color w:val="0000FF"/>
            <w:sz w:val="22"/>
            <w:szCs w:val="22"/>
            <w:lang w:eastAsia="en-US"/>
          </w:rPr>
          <w:t>рисунке Б.1</w:t>
        </w:r>
      </w:hyperlink>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3448050" cy="16573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448050" cy="1657350"/>
                    </a:xfrm>
                    <a:prstGeom prst="rect">
                      <a:avLst/>
                    </a:prstGeom>
                    <a:noFill/>
                    <a:ln>
                      <a:noFill/>
                    </a:ln>
                  </pic:spPr>
                </pic:pic>
              </a:graphicData>
            </a:graphic>
          </wp:inline>
        </w:drawing>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Рисунок Б.3. Форма импульсов, характерная для точек</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присоединения f, g, n на </w:t>
      </w:r>
      <w:hyperlink w:anchor="Par658" w:history="1">
        <w:r w:rsidRPr="00041A40">
          <w:rPr>
            <w:rFonts w:eastAsia="Times New Roman" w:cs="Times New Roman"/>
            <w:color w:val="0000FF"/>
            <w:sz w:val="22"/>
            <w:szCs w:val="22"/>
            <w:lang w:eastAsia="en-US"/>
          </w:rPr>
          <w:t>рисунке Б.1</w:t>
        </w:r>
      </w:hyperlink>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Pr>
          <w:rFonts w:eastAsia="Times New Roman" w:cs="Times New Roman"/>
          <w:noProof/>
          <w:sz w:val="22"/>
          <w:szCs w:val="22"/>
        </w:rPr>
        <w:drawing>
          <wp:inline distT="0" distB="0" distL="0" distR="0">
            <wp:extent cx="3295650" cy="19907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295650" cy="1990725"/>
                    </a:xfrm>
                    <a:prstGeom prst="rect">
                      <a:avLst/>
                    </a:prstGeom>
                    <a:noFill/>
                    <a:ln>
                      <a:noFill/>
                    </a:ln>
                  </pic:spPr>
                </pic:pic>
              </a:graphicData>
            </a:graphic>
          </wp:inline>
        </w:drawing>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sectPr w:rsidR="00041A40" w:rsidRPr="00041A40">
          <w:pgSz w:w="11905" w:h="16838"/>
          <w:pgMar w:top="1134" w:right="850" w:bottom="1134" w:left="1701" w:header="720" w:footer="720" w:gutter="0"/>
          <w:cols w:space="720"/>
          <w:noEndnote/>
        </w:sect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bookmarkStart w:id="40" w:name="Par678"/>
      <w:bookmarkEnd w:id="40"/>
      <w:r w:rsidRPr="00041A40">
        <w:rPr>
          <w:rFonts w:eastAsia="Times New Roman" w:cs="Times New Roman"/>
          <w:sz w:val="22"/>
          <w:szCs w:val="22"/>
          <w:lang w:eastAsia="en-US"/>
        </w:rPr>
        <w:t>Рисунок Б.4. Форма импульсов, характерная для точек</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присоединения b, l, k на </w:t>
      </w:r>
      <w:hyperlink w:anchor="Par658" w:history="1">
        <w:r w:rsidRPr="00041A40">
          <w:rPr>
            <w:rFonts w:eastAsia="Times New Roman" w:cs="Times New Roman"/>
            <w:color w:val="0000FF"/>
            <w:sz w:val="22"/>
            <w:szCs w:val="22"/>
            <w:lang w:eastAsia="en-US"/>
          </w:rPr>
          <w:t>рисунке Б.1</w:t>
        </w:r>
      </w:hyperlink>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pBdr>
          <w:top w:val="single" w:sz="6" w:space="0" w:color="auto"/>
        </w:pBdr>
        <w:autoSpaceDE w:val="0"/>
        <w:autoSpaceDN w:val="0"/>
        <w:adjustRightInd w:val="0"/>
        <w:spacing w:before="100" w:after="100"/>
        <w:ind w:firstLine="0"/>
        <w:rPr>
          <w:rFonts w:eastAsia="Times New Roman" w:cs="Times New Roman"/>
          <w:sz w:val="2"/>
          <w:szCs w:val="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КонсультантПлюс: примечание.</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В официальном тексте документа, видимо, допущена опечатка: рисунок В.1 отсутствует. Возможно, имеется в виду рисунок Б.1.</w:t>
      </w:r>
    </w:p>
    <w:p w:rsidR="00041A40" w:rsidRPr="00041A40" w:rsidRDefault="00041A40" w:rsidP="00041A40">
      <w:pPr>
        <w:widowControl w:val="0"/>
        <w:pBdr>
          <w:top w:val="single" w:sz="6" w:space="0" w:color="auto"/>
        </w:pBdr>
        <w:autoSpaceDE w:val="0"/>
        <w:autoSpaceDN w:val="0"/>
        <w:adjustRightInd w:val="0"/>
        <w:spacing w:before="100" w:after="100"/>
        <w:ind w:firstLine="0"/>
        <w:rPr>
          <w:rFonts w:eastAsia="Times New Roman" w:cs="Times New Roman"/>
          <w:sz w:val="2"/>
          <w:szCs w:val="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Значения импульсных напряжений, вызываемых молниевыми разрядами в точках присоединения к электрической сети, показанных на </w:t>
      </w:r>
      <w:hyperlink w:anchor="Par658" w:history="1">
        <w:r w:rsidRPr="00041A40">
          <w:rPr>
            <w:rFonts w:eastAsia="Times New Roman" w:cs="Times New Roman"/>
            <w:color w:val="0000FF"/>
            <w:sz w:val="22"/>
            <w:szCs w:val="22"/>
            <w:lang w:eastAsia="en-US"/>
          </w:rPr>
          <w:t>рисунке В.1</w:t>
        </w:r>
      </w:hyperlink>
      <w:r w:rsidRPr="00041A40">
        <w:rPr>
          <w:rFonts w:eastAsia="Times New Roman" w:cs="Times New Roman"/>
          <w:sz w:val="22"/>
          <w:szCs w:val="22"/>
          <w:lang w:eastAsia="en-US"/>
        </w:rPr>
        <w:t>, приведены в таблице Б.1.</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r w:rsidRPr="00041A40">
        <w:rPr>
          <w:rFonts w:eastAsia="Times New Roman" w:cs="Times New Roman"/>
          <w:sz w:val="22"/>
          <w:szCs w:val="22"/>
          <w:lang w:eastAsia="en-US"/>
        </w:rPr>
        <w:t>Таблица Б.1</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bookmarkStart w:id="41" w:name="Par689"/>
      <w:bookmarkEnd w:id="41"/>
      <w:r w:rsidRPr="00041A40">
        <w:rPr>
          <w:rFonts w:eastAsia="Times New Roman" w:cs="Times New Roman"/>
          <w:sz w:val="22"/>
          <w:szCs w:val="22"/>
          <w:lang w:eastAsia="en-US"/>
        </w:rPr>
        <w:t>Значения импульсных напряжений, вызываемых</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молниевыми разрядами, кВ</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2340"/>
        <w:gridCol w:w="1680"/>
        <w:gridCol w:w="960"/>
        <w:gridCol w:w="960"/>
        <w:gridCol w:w="960"/>
        <w:gridCol w:w="960"/>
        <w:gridCol w:w="960"/>
        <w:gridCol w:w="960"/>
      </w:tblGrid>
      <w:tr w:rsidR="00041A40" w:rsidRPr="00041A40" w:rsidTr="00CD6560">
        <w:tc>
          <w:tcPr>
            <w:tcW w:w="234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Место расположения точек присоединения</w:t>
            </w:r>
          </w:p>
        </w:tc>
        <w:tc>
          <w:tcPr>
            <w:tcW w:w="168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Варианты точек на </w:t>
            </w:r>
            <w:hyperlink w:anchor="Par658" w:history="1">
              <w:r w:rsidRPr="00041A40">
                <w:rPr>
                  <w:rFonts w:eastAsia="Times New Roman" w:cs="Times New Roman"/>
                  <w:color w:val="0000FF"/>
                  <w:sz w:val="22"/>
                  <w:szCs w:val="22"/>
                  <w:lang w:eastAsia="en-US"/>
                </w:rPr>
                <w:t>рисунке Б.1</w:t>
              </w:r>
            </w:hyperlink>
          </w:p>
        </w:tc>
        <w:tc>
          <w:tcPr>
            <w:tcW w:w="5760"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Номинальное напряжение электрической сети, кВ</w:t>
            </w:r>
          </w:p>
        </w:tc>
      </w:tr>
      <w:tr w:rsidR="00041A40" w:rsidRPr="00041A40" w:rsidTr="00CD6560">
        <w:tc>
          <w:tcPr>
            <w:tcW w:w="234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c>
        <w:tc>
          <w:tcPr>
            <w:tcW w:w="168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0,38</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6</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10</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35</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110</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220</w:t>
            </w:r>
          </w:p>
        </w:tc>
      </w:tr>
      <w:tr w:rsidR="00041A40" w:rsidRPr="00041A40" w:rsidTr="00CD6560">
        <w:tc>
          <w:tcPr>
            <w:tcW w:w="234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r w:rsidRPr="00041A40">
              <w:rPr>
                <w:rFonts w:eastAsia="Times New Roman" w:cs="Times New Roman"/>
                <w:sz w:val="22"/>
                <w:szCs w:val="22"/>
                <w:lang w:eastAsia="en-US"/>
              </w:rPr>
              <w:t>Воздушная линия(ВЛ)</w:t>
            </w:r>
          </w:p>
        </w:tc>
        <w:tc>
          <w:tcPr>
            <w:tcW w:w="1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a, c</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A97CF5" w:rsidP="00041A40">
            <w:pPr>
              <w:widowControl w:val="0"/>
              <w:autoSpaceDE w:val="0"/>
              <w:autoSpaceDN w:val="0"/>
              <w:adjustRightInd w:val="0"/>
              <w:ind w:firstLine="0"/>
              <w:jc w:val="center"/>
              <w:rPr>
                <w:rFonts w:eastAsia="Times New Roman" w:cs="Times New Roman"/>
                <w:sz w:val="22"/>
                <w:szCs w:val="22"/>
                <w:lang w:eastAsia="en-US"/>
              </w:rPr>
            </w:pPr>
            <w:hyperlink w:anchor="Par768" w:history="1">
              <w:r w:rsidR="00041A40" w:rsidRPr="00041A40">
                <w:rPr>
                  <w:rFonts w:eastAsia="Times New Roman" w:cs="Times New Roman"/>
                  <w:color w:val="0000FF"/>
                  <w:sz w:val="22"/>
                  <w:szCs w:val="22"/>
                  <w:lang w:eastAsia="en-US"/>
                </w:rPr>
                <w:t>&lt;5&gt;</w:t>
              </w:r>
            </w:hyperlink>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100</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125</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325</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800</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1580</w:t>
            </w:r>
          </w:p>
        </w:tc>
      </w:tr>
      <w:tr w:rsidR="00041A40" w:rsidRPr="00041A40" w:rsidTr="00CD6560">
        <w:tc>
          <w:tcPr>
            <w:tcW w:w="234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c>
        <w:tc>
          <w:tcPr>
            <w:tcW w:w="1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b </w:t>
            </w:r>
            <w:hyperlink w:anchor="Par763" w:history="1">
              <w:r w:rsidRPr="00041A40">
                <w:rPr>
                  <w:rFonts w:eastAsia="Times New Roman" w:cs="Times New Roman"/>
                  <w:color w:val="0000FF"/>
                  <w:sz w:val="22"/>
                  <w:szCs w:val="22"/>
                  <w:lang w:eastAsia="en-US"/>
                </w:rPr>
                <w:t>&lt;1&gt;</w:t>
              </w:r>
            </w:hyperlink>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160</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2000</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190</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2000</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575</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2000</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1200</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2000</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2400</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w:t>
            </w: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2000</w:t>
            </w:r>
          </w:p>
        </w:tc>
      </w:tr>
      <w:tr w:rsidR="00041A40" w:rsidRPr="00041A40" w:rsidTr="00CD6560">
        <w:tc>
          <w:tcPr>
            <w:tcW w:w="234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r w:rsidRPr="00041A40">
              <w:rPr>
                <w:rFonts w:eastAsia="Times New Roman" w:cs="Times New Roman"/>
                <w:sz w:val="22"/>
                <w:szCs w:val="22"/>
                <w:lang w:eastAsia="en-US"/>
              </w:rPr>
              <w:t>Кабельная линия (КЛ)</w:t>
            </w:r>
          </w:p>
        </w:tc>
        <w:tc>
          <w:tcPr>
            <w:tcW w:w="1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d</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A97CF5" w:rsidP="00041A40">
            <w:pPr>
              <w:widowControl w:val="0"/>
              <w:autoSpaceDE w:val="0"/>
              <w:autoSpaceDN w:val="0"/>
              <w:adjustRightInd w:val="0"/>
              <w:ind w:firstLine="0"/>
              <w:jc w:val="center"/>
              <w:rPr>
                <w:rFonts w:eastAsia="Times New Roman" w:cs="Times New Roman"/>
                <w:sz w:val="22"/>
                <w:szCs w:val="22"/>
                <w:lang w:eastAsia="en-US"/>
              </w:rPr>
            </w:pPr>
            <w:hyperlink w:anchor="Par768" w:history="1">
              <w:r w:rsidR="00041A40" w:rsidRPr="00041A40">
                <w:rPr>
                  <w:rFonts w:eastAsia="Times New Roman" w:cs="Times New Roman"/>
                  <w:color w:val="0000FF"/>
                  <w:sz w:val="22"/>
                  <w:szCs w:val="22"/>
                  <w:lang w:eastAsia="en-US"/>
                </w:rPr>
                <w:t>&lt;5&gt;</w:t>
              </w:r>
            </w:hyperlink>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100</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125</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325</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800</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1580</w:t>
            </w:r>
          </w:p>
        </w:tc>
      </w:tr>
      <w:tr w:rsidR="00041A40" w:rsidRPr="00041A40" w:rsidTr="00CD6560">
        <w:tc>
          <w:tcPr>
            <w:tcW w:w="234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c>
        <w:tc>
          <w:tcPr>
            <w:tcW w:w="1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l </w:t>
            </w:r>
            <w:hyperlink w:anchor="Par764" w:history="1">
              <w:r w:rsidRPr="00041A40">
                <w:rPr>
                  <w:rFonts w:eastAsia="Times New Roman" w:cs="Times New Roman"/>
                  <w:color w:val="0000FF"/>
                  <w:sz w:val="22"/>
                  <w:szCs w:val="22"/>
                  <w:lang w:eastAsia="en-US"/>
                </w:rPr>
                <w:t>&lt;2&gt;</w:t>
              </w:r>
            </w:hyperlink>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34</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48</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140</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350</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660</w:t>
            </w:r>
          </w:p>
        </w:tc>
      </w:tr>
      <w:tr w:rsidR="00041A40" w:rsidRPr="00041A40" w:rsidTr="00CD6560">
        <w:tc>
          <w:tcPr>
            <w:tcW w:w="234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c>
        <w:tc>
          <w:tcPr>
            <w:tcW w:w="1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e, k </w:t>
            </w:r>
            <w:hyperlink w:anchor="Par766" w:history="1">
              <w:r w:rsidRPr="00041A40">
                <w:rPr>
                  <w:rFonts w:eastAsia="Times New Roman" w:cs="Times New Roman"/>
                  <w:color w:val="0000FF"/>
                  <w:sz w:val="22"/>
                  <w:szCs w:val="22"/>
                  <w:lang w:eastAsia="en-US"/>
                </w:rPr>
                <w:t>&lt;3&gt;</w:t>
              </w:r>
            </w:hyperlink>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w:t>
            </w:r>
          </w:p>
        </w:tc>
      </w:tr>
      <w:tr w:rsidR="00041A40" w:rsidRPr="00041A40" w:rsidTr="00CD6560">
        <w:tc>
          <w:tcPr>
            <w:tcW w:w="234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r w:rsidRPr="00041A40">
              <w:rPr>
                <w:rFonts w:eastAsia="Times New Roman" w:cs="Times New Roman"/>
                <w:sz w:val="22"/>
                <w:szCs w:val="22"/>
                <w:lang w:eastAsia="en-US"/>
              </w:rPr>
              <w:t>Силовой трансформатор (Тр)</w:t>
            </w:r>
          </w:p>
        </w:tc>
        <w:tc>
          <w:tcPr>
            <w:tcW w:w="1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 xml:space="preserve">f, g, n </w:t>
            </w:r>
            <w:hyperlink w:anchor="Par767" w:history="1">
              <w:r w:rsidRPr="00041A40">
                <w:rPr>
                  <w:rFonts w:eastAsia="Times New Roman" w:cs="Times New Roman"/>
                  <w:color w:val="0000FF"/>
                  <w:sz w:val="22"/>
                  <w:szCs w:val="22"/>
                  <w:lang w:eastAsia="en-US"/>
                </w:rPr>
                <w:t>&lt;4&gt;</w:t>
              </w:r>
            </w:hyperlink>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60</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80</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200</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480</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750</w:t>
            </w:r>
          </w:p>
        </w:tc>
      </w:tr>
      <w:tr w:rsidR="00041A40" w:rsidRPr="00041A40" w:rsidTr="00CD6560">
        <w:tc>
          <w:tcPr>
            <w:tcW w:w="234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c>
        <w:tc>
          <w:tcPr>
            <w:tcW w:w="1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m</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34</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48</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140</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350</w:t>
            </w:r>
          </w:p>
        </w:tc>
        <w:tc>
          <w:tcPr>
            <w:tcW w:w="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660</w:t>
            </w:r>
          </w:p>
        </w:tc>
      </w:tr>
      <w:tr w:rsidR="00041A40" w:rsidRPr="00041A40" w:rsidTr="00CD6560">
        <w:tc>
          <w:tcPr>
            <w:tcW w:w="9780"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283"/>
              <w:rPr>
                <w:rFonts w:eastAsia="Times New Roman" w:cs="Times New Roman"/>
                <w:sz w:val="22"/>
                <w:szCs w:val="22"/>
                <w:lang w:eastAsia="en-US"/>
              </w:rPr>
            </w:pPr>
            <w:bookmarkStart w:id="42" w:name="Par763"/>
            <w:bookmarkEnd w:id="42"/>
            <w:r w:rsidRPr="00041A40">
              <w:rPr>
                <w:rFonts w:eastAsia="Times New Roman" w:cs="Times New Roman"/>
                <w:sz w:val="22"/>
                <w:szCs w:val="22"/>
                <w:lang w:eastAsia="en-US"/>
              </w:rPr>
              <w:t>&lt;1&gt; В варианте точек присоединения b в числителе указано импульсное напряжение на металлических и железобетонных опорах, в знаменателе - на деревянных опорах.</w:t>
            </w:r>
          </w:p>
          <w:p w:rsidR="00041A40" w:rsidRPr="00041A40" w:rsidRDefault="00041A40" w:rsidP="00041A40">
            <w:pPr>
              <w:widowControl w:val="0"/>
              <w:autoSpaceDE w:val="0"/>
              <w:autoSpaceDN w:val="0"/>
              <w:adjustRightInd w:val="0"/>
              <w:ind w:firstLine="283"/>
              <w:rPr>
                <w:rFonts w:eastAsia="Times New Roman" w:cs="Times New Roman"/>
                <w:sz w:val="22"/>
                <w:szCs w:val="22"/>
                <w:lang w:eastAsia="en-US"/>
              </w:rPr>
            </w:pPr>
            <w:bookmarkStart w:id="43" w:name="Par764"/>
            <w:bookmarkEnd w:id="43"/>
            <w:r w:rsidRPr="00041A40">
              <w:rPr>
                <w:rFonts w:eastAsia="Times New Roman" w:cs="Times New Roman"/>
                <w:sz w:val="22"/>
                <w:szCs w:val="22"/>
                <w:lang w:eastAsia="en-US"/>
              </w:rPr>
              <w:t xml:space="preserve">&lt;2&gt; Импульсные напряжения в точке присоединения l соответствуют случаю отсутствия воздушной линии электропередачи на стороне вторичного напряжения </w:t>
            </w:r>
            <w:r>
              <w:rPr>
                <w:rFonts w:eastAsia="Times New Roman" w:cs="Times New Roman"/>
                <w:noProof/>
                <w:position w:val="-12"/>
                <w:sz w:val="22"/>
                <w:szCs w:val="22"/>
              </w:rPr>
              <w:drawing>
                <wp:inline distT="0" distB="0" distL="0" distR="0">
                  <wp:extent cx="266700" cy="2571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трансформатора </w:t>
            </w:r>
            <w:r>
              <w:rPr>
                <w:rFonts w:eastAsia="Times New Roman" w:cs="Times New Roman"/>
                <w:noProof/>
                <w:position w:val="-12"/>
                <w:sz w:val="22"/>
                <w:szCs w:val="22"/>
              </w:rPr>
              <w:drawing>
                <wp:inline distT="0" distB="0" distL="0" distR="0">
                  <wp:extent cx="295275" cy="2571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(см. </w:t>
            </w:r>
            <w:hyperlink w:anchor="Par658" w:history="1">
              <w:r w:rsidRPr="00041A40">
                <w:rPr>
                  <w:rFonts w:eastAsia="Times New Roman" w:cs="Times New Roman"/>
                  <w:color w:val="0000FF"/>
                  <w:sz w:val="22"/>
                  <w:szCs w:val="22"/>
                  <w:lang w:eastAsia="en-US"/>
                </w:rPr>
                <w:t>рисунок Б.1</w:t>
              </w:r>
            </w:hyperlink>
            <w:r w:rsidRPr="00041A40">
              <w:rPr>
                <w:rFonts w:eastAsia="Times New Roman" w:cs="Times New Roman"/>
                <w:sz w:val="22"/>
                <w:szCs w:val="22"/>
                <w:lang w:eastAsia="en-US"/>
              </w:rPr>
              <w:t xml:space="preserve">) и значениям напряжений обмоток </w:t>
            </w:r>
            <w:r>
              <w:rPr>
                <w:rFonts w:eastAsia="Times New Roman" w:cs="Times New Roman"/>
                <w:noProof/>
                <w:position w:val="-12"/>
                <w:sz w:val="22"/>
                <w:szCs w:val="22"/>
              </w:rPr>
              <w:drawing>
                <wp:inline distT="0" distB="0" distL="0" distR="0">
                  <wp:extent cx="295275" cy="25717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w:t>
            </w:r>
            <w:r>
              <w:rPr>
                <w:rFonts w:eastAsia="Times New Roman" w:cs="Times New Roman"/>
                <w:noProof/>
                <w:position w:val="-12"/>
                <w:sz w:val="22"/>
                <w:szCs w:val="22"/>
              </w:rPr>
              <w:drawing>
                <wp:inline distT="0" distB="0" distL="0" distR="0">
                  <wp:extent cx="266700" cy="2571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w:t>
            </w:r>
            <w:r>
              <w:rPr>
                <w:rFonts w:eastAsia="Times New Roman" w:cs="Times New Roman"/>
                <w:noProof/>
                <w:position w:val="-12"/>
                <w:sz w:val="22"/>
                <w:szCs w:val="22"/>
              </w:rPr>
              <w:drawing>
                <wp:inline distT="0" distB="0" distL="0" distR="0">
                  <wp:extent cx="266700" cy="2571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041A40">
              <w:rPr>
                <w:rFonts w:eastAsia="Times New Roman" w:cs="Times New Roman"/>
                <w:sz w:val="22"/>
                <w:szCs w:val="22"/>
                <w:lang w:eastAsia="en-US"/>
              </w:rPr>
              <w:t>, соответствующим двум номинальным напряжениям, расположенным рядом в шкале стандартных напряжений (например 35 и 10 кВ, 110 и 220 кВ).</w:t>
            </w:r>
          </w:p>
          <w:p w:rsidR="00041A40" w:rsidRPr="00041A40" w:rsidRDefault="00041A40" w:rsidP="00041A40">
            <w:pPr>
              <w:widowControl w:val="0"/>
              <w:autoSpaceDE w:val="0"/>
              <w:autoSpaceDN w:val="0"/>
              <w:adjustRightInd w:val="0"/>
              <w:ind w:firstLine="283"/>
              <w:rPr>
                <w:rFonts w:eastAsia="Times New Roman" w:cs="Times New Roman"/>
                <w:sz w:val="22"/>
                <w:szCs w:val="22"/>
                <w:lang w:eastAsia="en-US"/>
              </w:rPr>
            </w:pPr>
            <w:r w:rsidRPr="00041A40">
              <w:rPr>
                <w:rFonts w:eastAsia="Times New Roman" w:cs="Times New Roman"/>
                <w:sz w:val="22"/>
                <w:szCs w:val="22"/>
                <w:lang w:eastAsia="en-US"/>
              </w:rPr>
              <w:t xml:space="preserve">При других сочетаниях номинальных напряжений </w:t>
            </w:r>
            <w:r>
              <w:rPr>
                <w:rFonts w:eastAsia="Times New Roman" w:cs="Times New Roman"/>
                <w:noProof/>
                <w:position w:val="-12"/>
                <w:sz w:val="22"/>
                <w:szCs w:val="22"/>
              </w:rPr>
              <w:drawing>
                <wp:inline distT="0" distB="0" distL="0" distR="0">
                  <wp:extent cx="295275" cy="2571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041A40">
              <w:rPr>
                <w:rFonts w:eastAsia="Times New Roman" w:cs="Times New Roman"/>
                <w:sz w:val="22"/>
                <w:szCs w:val="22"/>
                <w:lang w:eastAsia="en-US"/>
              </w:rPr>
              <w:t xml:space="preserve"> (например, 110 и 10 кВ, 35 и 6 кВ и т.д.) импульсные напряжения, проходящие через обмотки трансформатора, меньше указанных значений.</w:t>
            </w:r>
          </w:p>
          <w:p w:rsidR="00041A40" w:rsidRPr="00041A40" w:rsidRDefault="00041A40" w:rsidP="00041A40">
            <w:pPr>
              <w:widowControl w:val="0"/>
              <w:autoSpaceDE w:val="0"/>
              <w:autoSpaceDN w:val="0"/>
              <w:adjustRightInd w:val="0"/>
              <w:ind w:firstLine="283"/>
              <w:rPr>
                <w:rFonts w:eastAsia="Times New Roman" w:cs="Times New Roman"/>
                <w:sz w:val="22"/>
                <w:szCs w:val="22"/>
                <w:lang w:eastAsia="en-US"/>
              </w:rPr>
            </w:pPr>
            <w:bookmarkStart w:id="44" w:name="Par766"/>
            <w:bookmarkEnd w:id="44"/>
            <w:r w:rsidRPr="00041A40">
              <w:rPr>
                <w:rFonts w:eastAsia="Times New Roman" w:cs="Times New Roman"/>
                <w:sz w:val="22"/>
                <w:szCs w:val="22"/>
                <w:lang w:eastAsia="en-US"/>
              </w:rPr>
              <w:t xml:space="preserve">&lt;3&gt; При наличии на распределительной подстанции типа РП-Б, РП-В (см. </w:t>
            </w:r>
            <w:hyperlink w:anchor="Par658" w:history="1">
              <w:r w:rsidRPr="00041A40">
                <w:rPr>
                  <w:rFonts w:eastAsia="Times New Roman" w:cs="Times New Roman"/>
                  <w:color w:val="0000FF"/>
                  <w:sz w:val="22"/>
                  <w:szCs w:val="22"/>
                  <w:lang w:eastAsia="en-US"/>
                </w:rPr>
                <w:t>рисунок Б.1</w:t>
              </w:r>
            </w:hyperlink>
            <w:r w:rsidRPr="00041A40">
              <w:rPr>
                <w:rFonts w:eastAsia="Times New Roman" w:cs="Times New Roman"/>
                <w:sz w:val="22"/>
                <w:szCs w:val="22"/>
                <w:lang w:eastAsia="en-US"/>
              </w:rPr>
              <w:t>) воздушных линий электропередачи значения импульсных напряжений в точках присоединения e и k такое же, как в варианте точек присоединения d и c. При отсутствии на распределительной подстанции типа РП-Б, РП-В воздушных линий электропередачи импульсные напряжения в точках присоединения e и k определяются значениями импульсных напряжений в начале кабельной линии (точки d и l), уменьшенными в соответствии с данными по затуханию грозовых импульсов в кабельных линиях в зависимости от длины линии.</w:t>
            </w:r>
          </w:p>
          <w:p w:rsidR="00041A40" w:rsidRPr="00041A40" w:rsidRDefault="00041A40" w:rsidP="00041A40">
            <w:pPr>
              <w:widowControl w:val="0"/>
              <w:autoSpaceDE w:val="0"/>
              <w:autoSpaceDN w:val="0"/>
              <w:adjustRightInd w:val="0"/>
              <w:ind w:firstLine="283"/>
              <w:rPr>
                <w:rFonts w:eastAsia="Times New Roman" w:cs="Times New Roman"/>
                <w:sz w:val="22"/>
                <w:szCs w:val="22"/>
                <w:lang w:eastAsia="en-US"/>
              </w:rPr>
            </w:pPr>
            <w:bookmarkStart w:id="45" w:name="Par767"/>
            <w:bookmarkEnd w:id="45"/>
            <w:r w:rsidRPr="00041A40">
              <w:rPr>
                <w:rFonts w:eastAsia="Times New Roman" w:cs="Times New Roman"/>
                <w:sz w:val="22"/>
                <w:szCs w:val="22"/>
                <w:lang w:eastAsia="en-US"/>
              </w:rPr>
              <w:t xml:space="preserve">&lt;4&gt; Указанные в данной строке значения импульсных напряжений справедливы при условии расположения точек общего присоединения f, g, n на вводах силового трансформатора и наличии связи рассматриваемой обмотки с воздушной линией. При отсутствии связи (точка m на </w:t>
            </w:r>
            <w:hyperlink w:anchor="Par658" w:history="1">
              <w:r w:rsidRPr="00041A40">
                <w:rPr>
                  <w:rFonts w:eastAsia="Times New Roman" w:cs="Times New Roman"/>
                  <w:color w:val="0000FF"/>
                  <w:sz w:val="22"/>
                  <w:szCs w:val="22"/>
                  <w:lang w:eastAsia="en-US"/>
                </w:rPr>
                <w:t>рисунке Б.1</w:t>
              </w:r>
            </w:hyperlink>
            <w:r w:rsidRPr="00041A40">
              <w:rPr>
                <w:rFonts w:eastAsia="Times New Roman" w:cs="Times New Roman"/>
                <w:sz w:val="22"/>
                <w:szCs w:val="22"/>
                <w:lang w:eastAsia="en-US"/>
              </w:rPr>
              <w:t>) импульсные напряжения соответствуют точке присоединения l.</w:t>
            </w:r>
          </w:p>
          <w:p w:rsidR="00041A40" w:rsidRPr="00041A40" w:rsidRDefault="00041A40" w:rsidP="00041A40">
            <w:pPr>
              <w:widowControl w:val="0"/>
              <w:autoSpaceDE w:val="0"/>
              <w:autoSpaceDN w:val="0"/>
              <w:adjustRightInd w:val="0"/>
              <w:ind w:firstLine="283"/>
              <w:rPr>
                <w:rFonts w:eastAsia="Times New Roman" w:cs="Times New Roman"/>
                <w:sz w:val="22"/>
                <w:szCs w:val="22"/>
                <w:lang w:eastAsia="en-US"/>
              </w:rPr>
            </w:pPr>
            <w:bookmarkStart w:id="46" w:name="Par768"/>
            <w:bookmarkEnd w:id="46"/>
            <w:r w:rsidRPr="00041A40">
              <w:rPr>
                <w:rFonts w:eastAsia="Times New Roman" w:cs="Times New Roman"/>
                <w:sz w:val="22"/>
                <w:szCs w:val="22"/>
                <w:lang w:eastAsia="en-US"/>
              </w:rPr>
              <w:t>&lt;5&gt; Значения импульсных напряжений с вероятностью 90% не превышают 10 кВ - в воздушной сети напряжением 0,38 кВ и 6 кВ - во внутренней проводке зданий и сооружений.</w:t>
            </w:r>
          </w:p>
        </w:tc>
      </w:tr>
    </w:tbl>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Значения коммутационных импульсных напряжений при их длительности на уровне 0,5 амплитуды импульса, равной 1000 - 5000 мкс, приведены в таблице Б.2.</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right"/>
        <w:rPr>
          <w:rFonts w:eastAsia="Times New Roman" w:cs="Times New Roman"/>
          <w:sz w:val="22"/>
          <w:szCs w:val="22"/>
          <w:lang w:eastAsia="en-US"/>
        </w:rPr>
      </w:pPr>
      <w:r w:rsidRPr="00041A40">
        <w:rPr>
          <w:rFonts w:eastAsia="Times New Roman" w:cs="Times New Roman"/>
          <w:sz w:val="22"/>
          <w:szCs w:val="22"/>
          <w:lang w:eastAsia="en-US"/>
        </w:rPr>
        <w:t>Таблица Б.2</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bookmarkStart w:id="47" w:name="Par774"/>
      <w:bookmarkEnd w:id="47"/>
      <w:r w:rsidRPr="00041A40">
        <w:rPr>
          <w:rFonts w:eastAsia="Times New Roman" w:cs="Times New Roman"/>
          <w:sz w:val="22"/>
          <w:szCs w:val="22"/>
          <w:lang w:eastAsia="en-US"/>
        </w:rPr>
        <w:t>Значения коммутационных импульсных напряжений</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3660"/>
        <w:gridCol w:w="840"/>
        <w:gridCol w:w="840"/>
        <w:gridCol w:w="720"/>
        <w:gridCol w:w="720"/>
        <w:gridCol w:w="840"/>
        <w:gridCol w:w="720"/>
        <w:gridCol w:w="720"/>
        <w:gridCol w:w="720"/>
      </w:tblGrid>
      <w:tr w:rsidR="00041A40" w:rsidRPr="00041A40" w:rsidTr="00CD6560">
        <w:tc>
          <w:tcPr>
            <w:tcW w:w="3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r w:rsidRPr="00041A40">
              <w:rPr>
                <w:rFonts w:eastAsia="Times New Roman" w:cs="Times New Roman"/>
                <w:sz w:val="22"/>
                <w:szCs w:val="22"/>
                <w:lang w:eastAsia="en-US"/>
              </w:rPr>
              <w:t>Номинальное напряжение электрической сети, кВ</w:t>
            </w:r>
          </w:p>
        </w:tc>
        <w:tc>
          <w:tcPr>
            <w:tcW w:w="8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0,38</w:t>
            </w:r>
          </w:p>
        </w:tc>
        <w:tc>
          <w:tcPr>
            <w:tcW w:w="8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w:t>
            </w: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6</w:t>
            </w: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10</w:t>
            </w:r>
          </w:p>
        </w:tc>
        <w:tc>
          <w:tcPr>
            <w:tcW w:w="8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20</w:t>
            </w: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35</w:t>
            </w: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110</w:t>
            </w: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220</w:t>
            </w:r>
          </w:p>
        </w:tc>
      </w:tr>
      <w:tr w:rsidR="00041A40" w:rsidRPr="00041A40" w:rsidTr="00CD6560">
        <w:tc>
          <w:tcPr>
            <w:tcW w:w="3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r w:rsidRPr="00041A40">
              <w:rPr>
                <w:rFonts w:eastAsia="Times New Roman" w:cs="Times New Roman"/>
                <w:sz w:val="22"/>
                <w:szCs w:val="22"/>
                <w:lang w:eastAsia="en-US"/>
              </w:rPr>
              <w:t>Коммутационное импульсное напряжение, кВ</w:t>
            </w:r>
          </w:p>
        </w:tc>
        <w:tc>
          <w:tcPr>
            <w:tcW w:w="8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4,5</w:t>
            </w:r>
          </w:p>
        </w:tc>
        <w:tc>
          <w:tcPr>
            <w:tcW w:w="8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15,5</w:t>
            </w: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27</w:t>
            </w: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43</w:t>
            </w:r>
          </w:p>
        </w:tc>
        <w:tc>
          <w:tcPr>
            <w:tcW w:w="8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85,5</w:t>
            </w: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148</w:t>
            </w: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363</w:t>
            </w: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center"/>
              <w:rPr>
                <w:rFonts w:eastAsia="Times New Roman" w:cs="Times New Roman"/>
                <w:sz w:val="22"/>
                <w:szCs w:val="22"/>
                <w:lang w:eastAsia="en-US"/>
              </w:rPr>
            </w:pPr>
            <w:r w:rsidRPr="00041A40">
              <w:rPr>
                <w:rFonts w:eastAsia="Times New Roman" w:cs="Times New Roman"/>
                <w:sz w:val="22"/>
                <w:szCs w:val="22"/>
                <w:lang w:eastAsia="en-US"/>
              </w:rPr>
              <w:t>705</w:t>
            </w:r>
          </w:p>
        </w:tc>
      </w:tr>
    </w:tbl>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Вероятность превышения значений коммутационных импульсных напряжений, указанных в </w:t>
      </w:r>
      <w:hyperlink w:anchor="Par774" w:history="1">
        <w:r w:rsidRPr="00041A40">
          <w:rPr>
            <w:rFonts w:eastAsia="Times New Roman" w:cs="Times New Roman"/>
            <w:color w:val="0000FF"/>
            <w:sz w:val="22"/>
            <w:szCs w:val="22"/>
            <w:lang w:eastAsia="en-US"/>
          </w:rPr>
          <w:t>таблице Б.2</w:t>
        </w:r>
      </w:hyperlink>
      <w:r w:rsidRPr="00041A40">
        <w:rPr>
          <w:rFonts w:eastAsia="Times New Roman" w:cs="Times New Roman"/>
          <w:sz w:val="22"/>
          <w:szCs w:val="22"/>
          <w:lang w:eastAsia="en-US"/>
        </w:rPr>
        <w:t xml:space="preserve">, составляет не более 5%, а значений импульсных напряжений, вызываемых молниевыми разрядами </w:t>
      </w:r>
      <w:hyperlink w:anchor="Par689" w:history="1">
        <w:r w:rsidRPr="00041A40">
          <w:rPr>
            <w:rFonts w:eastAsia="Times New Roman" w:cs="Times New Roman"/>
            <w:color w:val="0000FF"/>
            <w:sz w:val="22"/>
            <w:szCs w:val="22"/>
            <w:lang w:eastAsia="en-US"/>
          </w:rPr>
          <w:t>(таблица Б.1)</w:t>
        </w:r>
      </w:hyperlink>
      <w:r w:rsidRPr="00041A40">
        <w:rPr>
          <w:rFonts w:eastAsia="Times New Roman" w:cs="Times New Roman"/>
          <w:sz w:val="22"/>
          <w:szCs w:val="22"/>
          <w:lang w:eastAsia="en-US"/>
        </w:rPr>
        <w:t xml:space="preserve"> - не более 10% для воздушных линий с металлическими и железобетонными опорами и 20% - для воздушных линий с деревянными опорами.</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r w:rsidRPr="00041A40">
        <w:rPr>
          <w:rFonts w:eastAsia="Times New Roman" w:cs="Times New Roman"/>
          <w:sz w:val="22"/>
          <w:szCs w:val="22"/>
          <w:lang w:eastAsia="en-US"/>
        </w:rPr>
        <w:t xml:space="preserve">Значения импульсных напряжений в электрической сети потребителя могут превышать указанные в </w:t>
      </w:r>
      <w:hyperlink w:anchor="Par689" w:history="1">
        <w:r w:rsidRPr="00041A40">
          <w:rPr>
            <w:rFonts w:eastAsia="Times New Roman" w:cs="Times New Roman"/>
            <w:color w:val="0000FF"/>
            <w:sz w:val="22"/>
            <w:szCs w:val="22"/>
            <w:lang w:eastAsia="en-US"/>
          </w:rPr>
          <w:t>таблице Б.1</w:t>
        </w:r>
      </w:hyperlink>
      <w:r w:rsidRPr="00041A40">
        <w:rPr>
          <w:rFonts w:eastAsia="Times New Roman" w:cs="Times New Roman"/>
          <w:sz w:val="22"/>
          <w:szCs w:val="22"/>
          <w:lang w:eastAsia="en-US"/>
        </w:rPr>
        <w:t xml:space="preserve"> значения за счет молниевых поражений в самой сети потребителя, отражений и преломлений импульсов в сети потребителя и частично - за счет разброса параметров импульсов.</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0"/>
        <w:jc w:val="center"/>
        <w:outlineLvl w:val="0"/>
        <w:rPr>
          <w:rFonts w:eastAsia="Times New Roman" w:cs="Times New Roman"/>
          <w:sz w:val="22"/>
          <w:szCs w:val="22"/>
          <w:lang w:eastAsia="en-US"/>
        </w:rPr>
      </w:pPr>
      <w:bookmarkStart w:id="48" w:name="Par802"/>
      <w:bookmarkEnd w:id="48"/>
      <w:r w:rsidRPr="00041A40">
        <w:rPr>
          <w:rFonts w:eastAsia="Times New Roman" w:cs="Times New Roman"/>
          <w:sz w:val="22"/>
          <w:szCs w:val="22"/>
          <w:lang w:eastAsia="en-US"/>
        </w:rPr>
        <w:t>БИБЛИОГРАФИЯ</w:t>
      </w: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540"/>
        <w:gridCol w:w="2880"/>
        <w:gridCol w:w="6360"/>
      </w:tblGrid>
      <w:tr w:rsidR="00041A40" w:rsidRPr="00041A40" w:rsidTr="00CD6560">
        <w:tc>
          <w:tcPr>
            <w:tcW w:w="540" w:type="dxa"/>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bookmarkStart w:id="49" w:name="Par804"/>
            <w:bookmarkEnd w:id="49"/>
            <w:r w:rsidRPr="00041A40">
              <w:rPr>
                <w:rFonts w:eastAsia="Times New Roman" w:cs="Times New Roman"/>
                <w:sz w:val="22"/>
                <w:szCs w:val="22"/>
                <w:lang w:eastAsia="en-US"/>
              </w:rPr>
              <w:t>[1]</w:t>
            </w:r>
          </w:p>
        </w:tc>
        <w:tc>
          <w:tcPr>
            <w:tcW w:w="2880" w:type="dxa"/>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r w:rsidRPr="00041A40">
              <w:rPr>
                <w:rFonts w:eastAsia="Times New Roman" w:cs="Times New Roman"/>
                <w:sz w:val="22"/>
                <w:szCs w:val="22"/>
                <w:lang w:eastAsia="en-US"/>
              </w:rPr>
              <w:t>IEC 61000-4-15:2010</w:t>
            </w:r>
          </w:p>
        </w:tc>
        <w:tc>
          <w:tcPr>
            <w:tcW w:w="6360" w:type="dxa"/>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val="en-US" w:eastAsia="en-US"/>
              </w:rPr>
            </w:pPr>
            <w:r w:rsidRPr="00041A40">
              <w:rPr>
                <w:rFonts w:eastAsia="Times New Roman" w:cs="Times New Roman"/>
                <w:sz w:val="22"/>
                <w:szCs w:val="22"/>
                <w:lang w:val="en-US" w:eastAsia="en-US"/>
              </w:rPr>
              <w:t>Electromagnetic compatibility (EMC) - Part 4-10: Testing and measurement techniques - Flikermeter - Functional and design specifications</w:t>
            </w:r>
          </w:p>
        </w:tc>
      </w:tr>
      <w:tr w:rsidR="00041A40" w:rsidRPr="00041A40" w:rsidTr="00CD6560">
        <w:tc>
          <w:tcPr>
            <w:tcW w:w="540" w:type="dxa"/>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val="en-US" w:eastAsia="en-US"/>
              </w:rPr>
            </w:pPr>
          </w:p>
        </w:tc>
        <w:tc>
          <w:tcPr>
            <w:tcW w:w="2880" w:type="dxa"/>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val="en-US" w:eastAsia="en-US"/>
              </w:rPr>
            </w:pPr>
          </w:p>
        </w:tc>
        <w:tc>
          <w:tcPr>
            <w:tcW w:w="6360" w:type="dxa"/>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r w:rsidRPr="00041A40">
              <w:rPr>
                <w:rFonts w:eastAsia="Times New Roman" w:cs="Times New Roman"/>
                <w:sz w:val="22"/>
                <w:szCs w:val="22"/>
                <w:lang w:eastAsia="en-US"/>
              </w:rPr>
              <w:t>(Электромагнитная совместимость (ЭМС). Часть 4-15. Методы измерений и испытаний. Фликерметр. Функциональные и конструктивные требования)</w:t>
            </w:r>
          </w:p>
        </w:tc>
      </w:tr>
      <w:tr w:rsidR="00041A40" w:rsidRPr="00041A40" w:rsidTr="00CD6560">
        <w:tc>
          <w:tcPr>
            <w:tcW w:w="540" w:type="dxa"/>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bookmarkStart w:id="50" w:name="Par810"/>
            <w:bookmarkEnd w:id="50"/>
            <w:r w:rsidRPr="00041A40">
              <w:rPr>
                <w:rFonts w:eastAsia="Times New Roman" w:cs="Times New Roman"/>
                <w:sz w:val="22"/>
                <w:szCs w:val="22"/>
                <w:lang w:eastAsia="en-US"/>
              </w:rPr>
              <w:t>[2]</w:t>
            </w:r>
          </w:p>
        </w:tc>
        <w:tc>
          <w:tcPr>
            <w:tcW w:w="2880" w:type="dxa"/>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r w:rsidRPr="00041A40">
              <w:rPr>
                <w:rFonts w:eastAsia="Times New Roman" w:cs="Times New Roman"/>
                <w:sz w:val="22"/>
                <w:szCs w:val="22"/>
                <w:lang w:eastAsia="en-US"/>
              </w:rPr>
              <w:t>IEC 61000-2-8:2002</w:t>
            </w:r>
          </w:p>
        </w:tc>
        <w:tc>
          <w:tcPr>
            <w:tcW w:w="6360" w:type="dxa"/>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val="en-US" w:eastAsia="en-US"/>
              </w:rPr>
            </w:pPr>
            <w:r w:rsidRPr="00041A40">
              <w:rPr>
                <w:rFonts w:eastAsia="Times New Roman" w:cs="Times New Roman"/>
                <w:sz w:val="22"/>
                <w:szCs w:val="22"/>
                <w:lang w:val="en-US" w:eastAsia="en-US"/>
              </w:rPr>
              <w:t>Electromagnetic compatibility (EMC) - Part 2-8: Environment - Voltage dips, short interruptions on public electric power supply system with statistical measurement results</w:t>
            </w:r>
          </w:p>
        </w:tc>
      </w:tr>
      <w:tr w:rsidR="00041A40" w:rsidRPr="00041A40" w:rsidTr="00CD6560">
        <w:tc>
          <w:tcPr>
            <w:tcW w:w="540" w:type="dxa"/>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val="en-US" w:eastAsia="en-US"/>
              </w:rPr>
            </w:pPr>
          </w:p>
        </w:tc>
        <w:tc>
          <w:tcPr>
            <w:tcW w:w="2880" w:type="dxa"/>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val="en-US" w:eastAsia="en-US"/>
              </w:rPr>
            </w:pPr>
          </w:p>
        </w:tc>
        <w:tc>
          <w:tcPr>
            <w:tcW w:w="6360" w:type="dxa"/>
            <w:tcMar>
              <w:top w:w="62" w:type="dxa"/>
              <w:left w:w="102" w:type="dxa"/>
              <w:bottom w:w="102" w:type="dxa"/>
              <w:right w:w="62" w:type="dxa"/>
            </w:tcMar>
          </w:tcPr>
          <w:p w:rsidR="00041A40" w:rsidRPr="00041A40" w:rsidRDefault="00041A40" w:rsidP="00041A40">
            <w:pPr>
              <w:widowControl w:val="0"/>
              <w:autoSpaceDE w:val="0"/>
              <w:autoSpaceDN w:val="0"/>
              <w:adjustRightInd w:val="0"/>
              <w:ind w:firstLine="0"/>
              <w:jc w:val="left"/>
              <w:rPr>
                <w:rFonts w:eastAsia="Times New Roman" w:cs="Times New Roman"/>
                <w:sz w:val="22"/>
                <w:szCs w:val="22"/>
                <w:lang w:eastAsia="en-US"/>
              </w:rPr>
            </w:pPr>
            <w:r w:rsidRPr="00041A40">
              <w:rPr>
                <w:rFonts w:eastAsia="Times New Roman" w:cs="Times New Roman"/>
                <w:sz w:val="22"/>
                <w:szCs w:val="22"/>
                <w:lang w:eastAsia="en-US"/>
              </w:rPr>
              <w:t>(Электромагнитная совместимость (ЭМС). Часть 2-8. Электромагнитная обстановка. Провалы и кратковременные прерывания напряжения в общественных системах электроснабжения со статистическими результатами измерений)</w:t>
            </w:r>
          </w:p>
        </w:tc>
      </w:tr>
    </w:tbl>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autoSpaceDE w:val="0"/>
        <w:autoSpaceDN w:val="0"/>
        <w:adjustRightInd w:val="0"/>
        <w:ind w:firstLine="540"/>
        <w:rPr>
          <w:rFonts w:eastAsia="Times New Roman" w:cs="Times New Roman"/>
          <w:sz w:val="22"/>
          <w:szCs w:val="22"/>
          <w:lang w:eastAsia="en-US"/>
        </w:rPr>
      </w:pPr>
    </w:p>
    <w:p w:rsidR="00041A40" w:rsidRPr="00041A40" w:rsidRDefault="00041A40" w:rsidP="00041A40">
      <w:pPr>
        <w:widowControl w:val="0"/>
        <w:pBdr>
          <w:top w:val="single" w:sz="6" w:space="0" w:color="auto"/>
        </w:pBdr>
        <w:autoSpaceDE w:val="0"/>
        <w:autoSpaceDN w:val="0"/>
        <w:adjustRightInd w:val="0"/>
        <w:spacing w:before="100" w:after="100"/>
        <w:ind w:firstLine="0"/>
        <w:rPr>
          <w:rFonts w:eastAsia="Times New Roman" w:cs="Times New Roman"/>
          <w:sz w:val="2"/>
          <w:szCs w:val="2"/>
          <w:lang w:eastAsia="en-US"/>
        </w:rPr>
      </w:pPr>
    </w:p>
    <w:p w:rsidR="00041A40" w:rsidRPr="00041A40" w:rsidRDefault="00041A40" w:rsidP="00041A40">
      <w:pPr>
        <w:spacing w:after="200" w:line="276" w:lineRule="auto"/>
        <w:ind w:firstLine="0"/>
        <w:jc w:val="left"/>
        <w:rPr>
          <w:rFonts w:eastAsia="Times New Roman" w:cs="Times New Roman"/>
          <w:sz w:val="22"/>
          <w:szCs w:val="22"/>
          <w:lang w:eastAsia="en-US"/>
        </w:rPr>
      </w:pPr>
    </w:p>
    <w:p w:rsidR="00F71C62" w:rsidRDefault="00F71C62"/>
    <w:sectPr w:rsidR="00F71C62" w:rsidSect="00557DDB">
      <w:pgSz w:w="16838" w:h="11905" w:orient="landscape"/>
      <w:pgMar w:top="1701" w:right="1134" w:bottom="85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inkAnnotation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A40"/>
    <w:rsid w:val="0000411C"/>
    <w:rsid w:val="00011BD7"/>
    <w:rsid w:val="000164CA"/>
    <w:rsid w:val="000250E0"/>
    <w:rsid w:val="00026906"/>
    <w:rsid w:val="00041A40"/>
    <w:rsid w:val="00062B32"/>
    <w:rsid w:val="000635D8"/>
    <w:rsid w:val="000646A0"/>
    <w:rsid w:val="0008250C"/>
    <w:rsid w:val="0009407F"/>
    <w:rsid w:val="0009580F"/>
    <w:rsid w:val="000A65F2"/>
    <w:rsid w:val="000B2325"/>
    <w:rsid w:val="000D0A27"/>
    <w:rsid w:val="000D6CB9"/>
    <w:rsid w:val="000F66F9"/>
    <w:rsid w:val="00107ECE"/>
    <w:rsid w:val="001150B7"/>
    <w:rsid w:val="00132305"/>
    <w:rsid w:val="00133744"/>
    <w:rsid w:val="0013634F"/>
    <w:rsid w:val="00140FC2"/>
    <w:rsid w:val="00143577"/>
    <w:rsid w:val="0015141B"/>
    <w:rsid w:val="00171012"/>
    <w:rsid w:val="0018122C"/>
    <w:rsid w:val="00190D50"/>
    <w:rsid w:val="001917C8"/>
    <w:rsid w:val="001B4416"/>
    <w:rsid w:val="001C2D83"/>
    <w:rsid w:val="001E069E"/>
    <w:rsid w:val="001E3FB8"/>
    <w:rsid w:val="001E6BC0"/>
    <w:rsid w:val="001F0511"/>
    <w:rsid w:val="00200B6C"/>
    <w:rsid w:val="00201284"/>
    <w:rsid w:val="00203F66"/>
    <w:rsid w:val="00214B93"/>
    <w:rsid w:val="00216CD8"/>
    <w:rsid w:val="002200A1"/>
    <w:rsid w:val="0022251D"/>
    <w:rsid w:val="00252136"/>
    <w:rsid w:val="002554DA"/>
    <w:rsid w:val="00274D53"/>
    <w:rsid w:val="00277151"/>
    <w:rsid w:val="00280155"/>
    <w:rsid w:val="0028349B"/>
    <w:rsid w:val="00283F80"/>
    <w:rsid w:val="00296B69"/>
    <w:rsid w:val="002A4566"/>
    <w:rsid w:val="002A5637"/>
    <w:rsid w:val="002A72E6"/>
    <w:rsid w:val="002B49A8"/>
    <w:rsid w:val="002B65DF"/>
    <w:rsid w:val="002C3755"/>
    <w:rsid w:val="002D0047"/>
    <w:rsid w:val="002E4588"/>
    <w:rsid w:val="002E70BA"/>
    <w:rsid w:val="002F479E"/>
    <w:rsid w:val="003041A5"/>
    <w:rsid w:val="00304C83"/>
    <w:rsid w:val="0032455D"/>
    <w:rsid w:val="003421FD"/>
    <w:rsid w:val="003476CE"/>
    <w:rsid w:val="003509FD"/>
    <w:rsid w:val="003601B0"/>
    <w:rsid w:val="0036449F"/>
    <w:rsid w:val="00374DD7"/>
    <w:rsid w:val="00376BBC"/>
    <w:rsid w:val="00380B86"/>
    <w:rsid w:val="00386769"/>
    <w:rsid w:val="00386D80"/>
    <w:rsid w:val="00387764"/>
    <w:rsid w:val="003964B9"/>
    <w:rsid w:val="003B7F92"/>
    <w:rsid w:val="003D4417"/>
    <w:rsid w:val="003D7178"/>
    <w:rsid w:val="004019C4"/>
    <w:rsid w:val="004113A4"/>
    <w:rsid w:val="00427DA8"/>
    <w:rsid w:val="00442C67"/>
    <w:rsid w:val="00451F79"/>
    <w:rsid w:val="00476EF2"/>
    <w:rsid w:val="00483556"/>
    <w:rsid w:val="004A1527"/>
    <w:rsid w:val="004A17A9"/>
    <w:rsid w:val="004D13C3"/>
    <w:rsid w:val="004D4850"/>
    <w:rsid w:val="004D4BC4"/>
    <w:rsid w:val="004D7BC3"/>
    <w:rsid w:val="004E4850"/>
    <w:rsid w:val="004E729B"/>
    <w:rsid w:val="004F0A21"/>
    <w:rsid w:val="005170FF"/>
    <w:rsid w:val="00532124"/>
    <w:rsid w:val="00543E49"/>
    <w:rsid w:val="005715EC"/>
    <w:rsid w:val="00596664"/>
    <w:rsid w:val="00596FDD"/>
    <w:rsid w:val="005B3C7C"/>
    <w:rsid w:val="005B4AA2"/>
    <w:rsid w:val="005D696C"/>
    <w:rsid w:val="005E5190"/>
    <w:rsid w:val="005E5FA4"/>
    <w:rsid w:val="005E72DC"/>
    <w:rsid w:val="005F2FED"/>
    <w:rsid w:val="005F311E"/>
    <w:rsid w:val="005F69FB"/>
    <w:rsid w:val="0060431A"/>
    <w:rsid w:val="006063D5"/>
    <w:rsid w:val="00606574"/>
    <w:rsid w:val="00607404"/>
    <w:rsid w:val="006123B8"/>
    <w:rsid w:val="00617158"/>
    <w:rsid w:val="0062209B"/>
    <w:rsid w:val="0062224C"/>
    <w:rsid w:val="00622FB1"/>
    <w:rsid w:val="00632F7E"/>
    <w:rsid w:val="00633C8B"/>
    <w:rsid w:val="00640FE6"/>
    <w:rsid w:val="00646474"/>
    <w:rsid w:val="00650E17"/>
    <w:rsid w:val="006660CF"/>
    <w:rsid w:val="00677DBA"/>
    <w:rsid w:val="00684F20"/>
    <w:rsid w:val="00685766"/>
    <w:rsid w:val="006917D7"/>
    <w:rsid w:val="0069735D"/>
    <w:rsid w:val="006A5156"/>
    <w:rsid w:val="006B4A68"/>
    <w:rsid w:val="006C6C55"/>
    <w:rsid w:val="006C74F4"/>
    <w:rsid w:val="006E217E"/>
    <w:rsid w:val="006E5C41"/>
    <w:rsid w:val="00706105"/>
    <w:rsid w:val="00712DB6"/>
    <w:rsid w:val="00724425"/>
    <w:rsid w:val="007254C8"/>
    <w:rsid w:val="00737F3D"/>
    <w:rsid w:val="007427D0"/>
    <w:rsid w:val="00751A83"/>
    <w:rsid w:val="00753294"/>
    <w:rsid w:val="00765807"/>
    <w:rsid w:val="00787430"/>
    <w:rsid w:val="007B4E2E"/>
    <w:rsid w:val="007C7962"/>
    <w:rsid w:val="007D163E"/>
    <w:rsid w:val="007D2D13"/>
    <w:rsid w:val="007E6BB2"/>
    <w:rsid w:val="0081440A"/>
    <w:rsid w:val="00815AD2"/>
    <w:rsid w:val="0081758A"/>
    <w:rsid w:val="00857155"/>
    <w:rsid w:val="00864A80"/>
    <w:rsid w:val="00874EA4"/>
    <w:rsid w:val="00880649"/>
    <w:rsid w:val="00885071"/>
    <w:rsid w:val="00885737"/>
    <w:rsid w:val="00887E24"/>
    <w:rsid w:val="008A6E4A"/>
    <w:rsid w:val="008B062A"/>
    <w:rsid w:val="008B5C2B"/>
    <w:rsid w:val="008D10FC"/>
    <w:rsid w:val="008E1690"/>
    <w:rsid w:val="008F5F71"/>
    <w:rsid w:val="008F6A5A"/>
    <w:rsid w:val="00900D66"/>
    <w:rsid w:val="0090550C"/>
    <w:rsid w:val="00907478"/>
    <w:rsid w:val="00920B8F"/>
    <w:rsid w:val="00920E53"/>
    <w:rsid w:val="009243D6"/>
    <w:rsid w:val="009373B7"/>
    <w:rsid w:val="009501FD"/>
    <w:rsid w:val="00955CAD"/>
    <w:rsid w:val="00957671"/>
    <w:rsid w:val="0096775B"/>
    <w:rsid w:val="0098321A"/>
    <w:rsid w:val="00983B0C"/>
    <w:rsid w:val="00987EB7"/>
    <w:rsid w:val="009A0B1D"/>
    <w:rsid w:val="009A66F0"/>
    <w:rsid w:val="009A7882"/>
    <w:rsid w:val="009B0727"/>
    <w:rsid w:val="009B1314"/>
    <w:rsid w:val="009C3E08"/>
    <w:rsid w:val="009D5EE4"/>
    <w:rsid w:val="009E56B7"/>
    <w:rsid w:val="009F0D07"/>
    <w:rsid w:val="009F0D2B"/>
    <w:rsid w:val="009F6341"/>
    <w:rsid w:val="00A030ED"/>
    <w:rsid w:val="00A17CDA"/>
    <w:rsid w:val="00A21C53"/>
    <w:rsid w:val="00A4151B"/>
    <w:rsid w:val="00A615BC"/>
    <w:rsid w:val="00A70439"/>
    <w:rsid w:val="00A80554"/>
    <w:rsid w:val="00A97CF5"/>
    <w:rsid w:val="00AA3B31"/>
    <w:rsid w:val="00AA6807"/>
    <w:rsid w:val="00AB520B"/>
    <w:rsid w:val="00AB637C"/>
    <w:rsid w:val="00AB6B7B"/>
    <w:rsid w:val="00AD5DA0"/>
    <w:rsid w:val="00AF4090"/>
    <w:rsid w:val="00B01BA0"/>
    <w:rsid w:val="00B20570"/>
    <w:rsid w:val="00B3006F"/>
    <w:rsid w:val="00B3765F"/>
    <w:rsid w:val="00B41CC2"/>
    <w:rsid w:val="00B52F6C"/>
    <w:rsid w:val="00B55AF6"/>
    <w:rsid w:val="00B66739"/>
    <w:rsid w:val="00B72AE2"/>
    <w:rsid w:val="00B74750"/>
    <w:rsid w:val="00B74976"/>
    <w:rsid w:val="00B96D4A"/>
    <w:rsid w:val="00BA7DA4"/>
    <w:rsid w:val="00BA7E3B"/>
    <w:rsid w:val="00BB5E51"/>
    <w:rsid w:val="00BC2F05"/>
    <w:rsid w:val="00BD146E"/>
    <w:rsid w:val="00BD3E31"/>
    <w:rsid w:val="00BE7DF2"/>
    <w:rsid w:val="00C0494D"/>
    <w:rsid w:val="00C100B9"/>
    <w:rsid w:val="00C251A2"/>
    <w:rsid w:val="00C27131"/>
    <w:rsid w:val="00C32BF3"/>
    <w:rsid w:val="00C36315"/>
    <w:rsid w:val="00C5085C"/>
    <w:rsid w:val="00C54A78"/>
    <w:rsid w:val="00C64B0B"/>
    <w:rsid w:val="00C91A30"/>
    <w:rsid w:val="00CC29BC"/>
    <w:rsid w:val="00CC31E2"/>
    <w:rsid w:val="00CD07E6"/>
    <w:rsid w:val="00CE0E47"/>
    <w:rsid w:val="00CE526E"/>
    <w:rsid w:val="00D00593"/>
    <w:rsid w:val="00D02F8B"/>
    <w:rsid w:val="00D041AA"/>
    <w:rsid w:val="00D10C7F"/>
    <w:rsid w:val="00D261F0"/>
    <w:rsid w:val="00D44031"/>
    <w:rsid w:val="00D572F6"/>
    <w:rsid w:val="00D7188B"/>
    <w:rsid w:val="00D73F22"/>
    <w:rsid w:val="00D80BFD"/>
    <w:rsid w:val="00D935C9"/>
    <w:rsid w:val="00DA0D79"/>
    <w:rsid w:val="00DB19A7"/>
    <w:rsid w:val="00DB7E36"/>
    <w:rsid w:val="00DD1289"/>
    <w:rsid w:val="00DD6669"/>
    <w:rsid w:val="00DD73B7"/>
    <w:rsid w:val="00DF2DDA"/>
    <w:rsid w:val="00DF3F72"/>
    <w:rsid w:val="00E035BF"/>
    <w:rsid w:val="00E0753F"/>
    <w:rsid w:val="00E13A30"/>
    <w:rsid w:val="00E243E4"/>
    <w:rsid w:val="00E35660"/>
    <w:rsid w:val="00E515A8"/>
    <w:rsid w:val="00E81198"/>
    <w:rsid w:val="00E81A7D"/>
    <w:rsid w:val="00E86809"/>
    <w:rsid w:val="00E902C5"/>
    <w:rsid w:val="00E91659"/>
    <w:rsid w:val="00EA4F5B"/>
    <w:rsid w:val="00EC1C0B"/>
    <w:rsid w:val="00EC57E2"/>
    <w:rsid w:val="00ED37CF"/>
    <w:rsid w:val="00EF1F44"/>
    <w:rsid w:val="00EF5752"/>
    <w:rsid w:val="00F213A1"/>
    <w:rsid w:val="00F22A3F"/>
    <w:rsid w:val="00F2548A"/>
    <w:rsid w:val="00F32CC1"/>
    <w:rsid w:val="00F3530A"/>
    <w:rsid w:val="00F36B0F"/>
    <w:rsid w:val="00F46541"/>
    <w:rsid w:val="00F54915"/>
    <w:rsid w:val="00F60896"/>
    <w:rsid w:val="00F609D9"/>
    <w:rsid w:val="00F66C18"/>
    <w:rsid w:val="00F71C62"/>
    <w:rsid w:val="00F7305D"/>
    <w:rsid w:val="00F81299"/>
    <w:rsid w:val="00FC3667"/>
    <w:rsid w:val="00FC760E"/>
    <w:rsid w:val="00FC7E2D"/>
    <w:rsid w:val="00FE0185"/>
    <w:rsid w:val="00FE1A92"/>
    <w:rsid w:val="00FE3D2E"/>
    <w:rsid w:val="00FE3F65"/>
    <w:rsid w:val="00FE74AA"/>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C31"/>
    <w:pPr>
      <w:spacing w:after="0" w:line="240" w:lineRule="auto"/>
      <w:ind w:firstLine="567"/>
      <w:jc w:val="both"/>
    </w:pPr>
    <w:rPr>
      <w:rFonts w:ascii="Times New Roman" w:hAnsi="Times New Roman"/>
      <w:sz w:val="24"/>
      <w:szCs w:val="20"/>
      <w:lang w:eastAsia="ru-RU"/>
    </w:rPr>
  </w:style>
  <w:style w:type="paragraph" w:styleId="1">
    <w:name w:val="heading 1"/>
    <w:basedOn w:val="a"/>
    <w:next w:val="a"/>
    <w:link w:val="10"/>
    <w:uiPriority w:val="9"/>
    <w:qFormat/>
    <w:rsid w:val="00FF2C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qFormat/>
    <w:rsid w:val="00FF2C31"/>
    <w:pPr>
      <w:spacing w:before="240" w:after="60"/>
      <w:ind w:firstLine="0"/>
      <w:jc w:val="left"/>
      <w:outlineLvl w:val="5"/>
    </w:pPr>
    <w:rPr>
      <w:rFonts w:eastAsia="Times New Roman" w:cs="Times New Roman"/>
      <w:b/>
      <w:bCs/>
      <w:sz w:val="22"/>
      <w:szCs w:val="22"/>
    </w:rPr>
  </w:style>
  <w:style w:type="paragraph" w:styleId="8">
    <w:name w:val="heading 8"/>
    <w:basedOn w:val="a"/>
    <w:next w:val="a"/>
    <w:link w:val="80"/>
    <w:qFormat/>
    <w:rsid w:val="00FF2C31"/>
    <w:pPr>
      <w:spacing w:before="240" w:after="60"/>
      <w:ind w:firstLine="0"/>
      <w:jc w:val="left"/>
      <w:outlineLvl w:val="7"/>
    </w:pPr>
    <w:rPr>
      <w:rFonts w:eastAsia="Times New Roman" w:cs="Times New Roman"/>
      <w:i/>
      <w:iCs/>
      <w:szCs w:val="24"/>
    </w:rPr>
  </w:style>
  <w:style w:type="paragraph" w:styleId="9">
    <w:name w:val="heading 9"/>
    <w:basedOn w:val="a"/>
    <w:next w:val="a"/>
    <w:link w:val="90"/>
    <w:qFormat/>
    <w:rsid w:val="00FF2C31"/>
    <w:pPr>
      <w:spacing w:before="240" w:after="60"/>
      <w:ind w:firstLine="0"/>
      <w:jc w:val="left"/>
      <w:outlineLvl w:val="8"/>
    </w:pPr>
    <w:rPr>
      <w:rFonts w:ascii="Arial" w:eastAsia="Times New Roman"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F2C31"/>
    <w:rPr>
      <w:rFonts w:asciiTheme="majorHAnsi" w:eastAsiaTheme="majorEastAsia" w:hAnsiTheme="majorHAnsi" w:cstheme="majorBidi"/>
      <w:b/>
      <w:bCs/>
      <w:color w:val="365F91" w:themeColor="accent1" w:themeShade="BF"/>
      <w:sz w:val="28"/>
      <w:szCs w:val="28"/>
      <w:lang w:eastAsia="ru-RU"/>
    </w:rPr>
  </w:style>
  <w:style w:type="character" w:customStyle="1" w:styleId="60">
    <w:name w:val="Заголовок 6 Знак"/>
    <w:basedOn w:val="a0"/>
    <w:link w:val="6"/>
    <w:rsid w:val="00FF2C31"/>
    <w:rPr>
      <w:rFonts w:ascii="Times New Roman" w:eastAsia="Times New Roman" w:hAnsi="Times New Roman" w:cs="Times New Roman"/>
      <w:b/>
      <w:bCs/>
      <w:lang w:eastAsia="ru-RU"/>
    </w:rPr>
  </w:style>
  <w:style w:type="character" w:customStyle="1" w:styleId="80">
    <w:name w:val="Заголовок 8 Знак"/>
    <w:basedOn w:val="a0"/>
    <w:link w:val="8"/>
    <w:rsid w:val="00FF2C31"/>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FF2C31"/>
    <w:rPr>
      <w:rFonts w:ascii="Arial" w:eastAsia="Times New Roman" w:hAnsi="Arial" w:cs="Arial"/>
      <w:lang w:eastAsia="ru-RU"/>
    </w:rPr>
  </w:style>
  <w:style w:type="paragraph" w:styleId="a3">
    <w:name w:val="Title"/>
    <w:basedOn w:val="a"/>
    <w:link w:val="a4"/>
    <w:uiPriority w:val="99"/>
    <w:qFormat/>
    <w:rsid w:val="00FF2C31"/>
    <w:pPr>
      <w:jc w:val="center"/>
    </w:pPr>
    <w:rPr>
      <w:rFonts w:eastAsia="Times New Roman" w:cs="Times New Roman"/>
      <w:b/>
      <w:bCs/>
      <w:szCs w:val="24"/>
      <w:lang w:val="en-US"/>
    </w:rPr>
  </w:style>
  <w:style w:type="character" w:customStyle="1" w:styleId="a4">
    <w:name w:val="Название Знак"/>
    <w:basedOn w:val="a0"/>
    <w:link w:val="a3"/>
    <w:uiPriority w:val="99"/>
    <w:rsid w:val="00FF2C31"/>
    <w:rPr>
      <w:rFonts w:ascii="Times New Roman" w:eastAsia="Times New Roman" w:hAnsi="Times New Roman" w:cs="Times New Roman"/>
      <w:b/>
      <w:bCs/>
      <w:sz w:val="24"/>
      <w:szCs w:val="24"/>
      <w:lang w:val="en-US" w:eastAsia="ru-RU"/>
    </w:rPr>
  </w:style>
  <w:style w:type="paragraph" w:styleId="a5">
    <w:name w:val="List Paragraph"/>
    <w:basedOn w:val="a"/>
    <w:uiPriority w:val="34"/>
    <w:qFormat/>
    <w:rsid w:val="00FF2C31"/>
    <w:pPr>
      <w:ind w:left="720"/>
      <w:contextualSpacing/>
    </w:pPr>
    <w:rPr>
      <w:rFonts w:eastAsia="Times New Roman" w:cs="Times New Roman"/>
    </w:rPr>
  </w:style>
  <w:style w:type="paragraph" w:styleId="a6">
    <w:name w:val="Balloon Text"/>
    <w:basedOn w:val="a"/>
    <w:link w:val="a7"/>
    <w:uiPriority w:val="99"/>
    <w:semiHidden/>
    <w:unhideWhenUsed/>
    <w:rsid w:val="00041A40"/>
    <w:rPr>
      <w:rFonts w:ascii="Tahoma" w:hAnsi="Tahoma" w:cs="Tahoma"/>
      <w:sz w:val="16"/>
      <w:szCs w:val="16"/>
    </w:rPr>
  </w:style>
  <w:style w:type="character" w:customStyle="1" w:styleId="a7">
    <w:name w:val="Текст выноски Знак"/>
    <w:basedOn w:val="a0"/>
    <w:link w:val="a6"/>
    <w:uiPriority w:val="99"/>
    <w:semiHidden/>
    <w:rsid w:val="00041A40"/>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C31"/>
    <w:pPr>
      <w:spacing w:after="0" w:line="240" w:lineRule="auto"/>
      <w:ind w:firstLine="567"/>
      <w:jc w:val="both"/>
    </w:pPr>
    <w:rPr>
      <w:rFonts w:ascii="Times New Roman" w:hAnsi="Times New Roman"/>
      <w:sz w:val="24"/>
      <w:szCs w:val="20"/>
      <w:lang w:eastAsia="ru-RU"/>
    </w:rPr>
  </w:style>
  <w:style w:type="paragraph" w:styleId="1">
    <w:name w:val="heading 1"/>
    <w:basedOn w:val="a"/>
    <w:next w:val="a"/>
    <w:link w:val="10"/>
    <w:uiPriority w:val="9"/>
    <w:qFormat/>
    <w:rsid w:val="00FF2C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qFormat/>
    <w:rsid w:val="00FF2C31"/>
    <w:pPr>
      <w:spacing w:before="240" w:after="60"/>
      <w:ind w:firstLine="0"/>
      <w:jc w:val="left"/>
      <w:outlineLvl w:val="5"/>
    </w:pPr>
    <w:rPr>
      <w:rFonts w:eastAsia="Times New Roman" w:cs="Times New Roman"/>
      <w:b/>
      <w:bCs/>
      <w:sz w:val="22"/>
      <w:szCs w:val="22"/>
    </w:rPr>
  </w:style>
  <w:style w:type="paragraph" w:styleId="8">
    <w:name w:val="heading 8"/>
    <w:basedOn w:val="a"/>
    <w:next w:val="a"/>
    <w:link w:val="80"/>
    <w:qFormat/>
    <w:rsid w:val="00FF2C31"/>
    <w:pPr>
      <w:spacing w:before="240" w:after="60"/>
      <w:ind w:firstLine="0"/>
      <w:jc w:val="left"/>
      <w:outlineLvl w:val="7"/>
    </w:pPr>
    <w:rPr>
      <w:rFonts w:eastAsia="Times New Roman" w:cs="Times New Roman"/>
      <w:i/>
      <w:iCs/>
      <w:szCs w:val="24"/>
    </w:rPr>
  </w:style>
  <w:style w:type="paragraph" w:styleId="9">
    <w:name w:val="heading 9"/>
    <w:basedOn w:val="a"/>
    <w:next w:val="a"/>
    <w:link w:val="90"/>
    <w:qFormat/>
    <w:rsid w:val="00FF2C31"/>
    <w:pPr>
      <w:spacing w:before="240" w:after="60"/>
      <w:ind w:firstLine="0"/>
      <w:jc w:val="left"/>
      <w:outlineLvl w:val="8"/>
    </w:pPr>
    <w:rPr>
      <w:rFonts w:ascii="Arial" w:eastAsia="Times New Roman"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F2C31"/>
    <w:rPr>
      <w:rFonts w:asciiTheme="majorHAnsi" w:eastAsiaTheme="majorEastAsia" w:hAnsiTheme="majorHAnsi" w:cstheme="majorBidi"/>
      <w:b/>
      <w:bCs/>
      <w:color w:val="365F91" w:themeColor="accent1" w:themeShade="BF"/>
      <w:sz w:val="28"/>
      <w:szCs w:val="28"/>
      <w:lang w:eastAsia="ru-RU"/>
    </w:rPr>
  </w:style>
  <w:style w:type="character" w:customStyle="1" w:styleId="60">
    <w:name w:val="Заголовок 6 Знак"/>
    <w:basedOn w:val="a0"/>
    <w:link w:val="6"/>
    <w:rsid w:val="00FF2C31"/>
    <w:rPr>
      <w:rFonts w:ascii="Times New Roman" w:eastAsia="Times New Roman" w:hAnsi="Times New Roman" w:cs="Times New Roman"/>
      <w:b/>
      <w:bCs/>
      <w:lang w:eastAsia="ru-RU"/>
    </w:rPr>
  </w:style>
  <w:style w:type="character" w:customStyle="1" w:styleId="80">
    <w:name w:val="Заголовок 8 Знак"/>
    <w:basedOn w:val="a0"/>
    <w:link w:val="8"/>
    <w:rsid w:val="00FF2C31"/>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FF2C31"/>
    <w:rPr>
      <w:rFonts w:ascii="Arial" w:eastAsia="Times New Roman" w:hAnsi="Arial" w:cs="Arial"/>
      <w:lang w:eastAsia="ru-RU"/>
    </w:rPr>
  </w:style>
  <w:style w:type="paragraph" w:styleId="a3">
    <w:name w:val="Title"/>
    <w:basedOn w:val="a"/>
    <w:link w:val="a4"/>
    <w:uiPriority w:val="99"/>
    <w:qFormat/>
    <w:rsid w:val="00FF2C31"/>
    <w:pPr>
      <w:jc w:val="center"/>
    </w:pPr>
    <w:rPr>
      <w:rFonts w:eastAsia="Times New Roman" w:cs="Times New Roman"/>
      <w:b/>
      <w:bCs/>
      <w:szCs w:val="24"/>
      <w:lang w:val="en-US"/>
    </w:rPr>
  </w:style>
  <w:style w:type="character" w:customStyle="1" w:styleId="a4">
    <w:name w:val="Название Знак"/>
    <w:basedOn w:val="a0"/>
    <w:link w:val="a3"/>
    <w:uiPriority w:val="99"/>
    <w:rsid w:val="00FF2C31"/>
    <w:rPr>
      <w:rFonts w:ascii="Times New Roman" w:eastAsia="Times New Roman" w:hAnsi="Times New Roman" w:cs="Times New Roman"/>
      <w:b/>
      <w:bCs/>
      <w:sz w:val="24"/>
      <w:szCs w:val="24"/>
      <w:lang w:val="en-US" w:eastAsia="ru-RU"/>
    </w:rPr>
  </w:style>
  <w:style w:type="paragraph" w:styleId="a5">
    <w:name w:val="List Paragraph"/>
    <w:basedOn w:val="a"/>
    <w:uiPriority w:val="34"/>
    <w:qFormat/>
    <w:rsid w:val="00FF2C31"/>
    <w:pPr>
      <w:ind w:left="720"/>
      <w:contextualSpacing/>
    </w:pPr>
    <w:rPr>
      <w:rFonts w:eastAsia="Times New Roman" w:cs="Times New Roman"/>
    </w:rPr>
  </w:style>
  <w:style w:type="paragraph" w:styleId="a6">
    <w:name w:val="Balloon Text"/>
    <w:basedOn w:val="a"/>
    <w:link w:val="a7"/>
    <w:uiPriority w:val="99"/>
    <w:semiHidden/>
    <w:unhideWhenUsed/>
    <w:rsid w:val="00041A40"/>
    <w:rPr>
      <w:rFonts w:ascii="Tahoma" w:hAnsi="Tahoma" w:cs="Tahoma"/>
      <w:sz w:val="16"/>
      <w:szCs w:val="16"/>
    </w:rPr>
  </w:style>
  <w:style w:type="character" w:customStyle="1" w:styleId="a7">
    <w:name w:val="Текст выноски Знак"/>
    <w:basedOn w:val="a0"/>
    <w:link w:val="a6"/>
    <w:uiPriority w:val="99"/>
    <w:semiHidden/>
    <w:rsid w:val="00041A40"/>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47" Type="http://schemas.openxmlformats.org/officeDocument/2006/relationships/image" Target="media/image36.wmf"/><Relationship Id="rId50" Type="http://schemas.openxmlformats.org/officeDocument/2006/relationships/image" Target="media/image39.wmf"/><Relationship Id="rId55" Type="http://schemas.openxmlformats.org/officeDocument/2006/relationships/image" Target="media/image44.wmf"/><Relationship Id="rId63" Type="http://schemas.openxmlformats.org/officeDocument/2006/relationships/image" Target="media/image52.wmf"/><Relationship Id="rId68" Type="http://schemas.openxmlformats.org/officeDocument/2006/relationships/image" Target="media/image57.wmf"/><Relationship Id="rId76" Type="http://schemas.openxmlformats.org/officeDocument/2006/relationships/image" Target="media/image65.png"/><Relationship Id="rId7" Type="http://schemas.openxmlformats.org/officeDocument/2006/relationships/hyperlink" Target="consultantplus://offline/ref=74A892E0D853DB6636FCE5F4D19D8E2492646C04FE131912CF0AA510HD5DX" TargetMode="External"/><Relationship Id="rId71" Type="http://schemas.openxmlformats.org/officeDocument/2006/relationships/image" Target="media/image60.png"/><Relationship Id="rId2" Type="http://schemas.microsoft.com/office/2007/relationships/stylesWithEffects" Target="stylesWithEffects.xml"/><Relationship Id="rId16" Type="http://schemas.openxmlformats.org/officeDocument/2006/relationships/image" Target="media/image5.wmf"/><Relationship Id="rId29" Type="http://schemas.openxmlformats.org/officeDocument/2006/relationships/image" Target="media/image18.wmf"/><Relationship Id="rId11" Type="http://schemas.openxmlformats.org/officeDocument/2006/relationships/hyperlink" Target="consultantplus://offline/ref=74A892E0D853DB6636FCE5F4D19D8E2492676E04FB131912CF0AA510HD5DX"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image" Target="media/image34.wmf"/><Relationship Id="rId53" Type="http://schemas.openxmlformats.org/officeDocument/2006/relationships/image" Target="media/image42.wmf"/><Relationship Id="rId58" Type="http://schemas.openxmlformats.org/officeDocument/2006/relationships/image" Target="media/image47.wmf"/><Relationship Id="rId66" Type="http://schemas.openxmlformats.org/officeDocument/2006/relationships/image" Target="media/image55.wmf"/><Relationship Id="rId74" Type="http://schemas.openxmlformats.org/officeDocument/2006/relationships/image" Target="media/image63.wmf"/><Relationship Id="rId79" Type="http://schemas.openxmlformats.org/officeDocument/2006/relationships/image" Target="media/image68.wmf"/><Relationship Id="rId5" Type="http://schemas.openxmlformats.org/officeDocument/2006/relationships/hyperlink" Target="consultantplus://offline/ref=74A892E0D853DB6636FCF3F8D39D8E2496666D09FA1D4418C753A912DAH75DX" TargetMode="External"/><Relationship Id="rId61" Type="http://schemas.openxmlformats.org/officeDocument/2006/relationships/image" Target="media/image50.wmf"/><Relationship Id="rId10" Type="http://schemas.openxmlformats.org/officeDocument/2006/relationships/hyperlink" Target="consultantplus://offline/ref=74A892E0D853DB6636FCF3F8D39D8E2496666D09FA1D4418C753A912DA7DA763E4F0F80FFB3F1FF9H859X" TargetMode="External"/><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41.wmf"/><Relationship Id="rId60" Type="http://schemas.openxmlformats.org/officeDocument/2006/relationships/image" Target="media/image49.wmf"/><Relationship Id="rId65" Type="http://schemas.openxmlformats.org/officeDocument/2006/relationships/image" Target="media/image54.wmf"/><Relationship Id="rId73" Type="http://schemas.openxmlformats.org/officeDocument/2006/relationships/image" Target="media/image62.wmf"/><Relationship Id="rId78" Type="http://schemas.openxmlformats.org/officeDocument/2006/relationships/image" Target="media/image67.png"/><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74A892E0D853DB6636FCFAE1D49D8E2492646A0EF01D4418C753A912DA7DA763E4F0F80FFB3F1FF8H85FX"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image" Target="media/image37.wmf"/><Relationship Id="rId56" Type="http://schemas.openxmlformats.org/officeDocument/2006/relationships/image" Target="media/image45.wmf"/><Relationship Id="rId64" Type="http://schemas.openxmlformats.org/officeDocument/2006/relationships/image" Target="media/image53.wmf"/><Relationship Id="rId69" Type="http://schemas.openxmlformats.org/officeDocument/2006/relationships/image" Target="media/image58.wmf"/><Relationship Id="rId77" Type="http://schemas.openxmlformats.org/officeDocument/2006/relationships/image" Target="media/image66.png"/><Relationship Id="rId8" Type="http://schemas.openxmlformats.org/officeDocument/2006/relationships/hyperlink" Target="consultantplus://offline/ref=74A892E0D853DB6636FCFAE1D49D8E2492646A0EF01D4418C753A912DA7DA763E4F0F80FFB3F1FF8H85FX" TargetMode="External"/><Relationship Id="rId51" Type="http://schemas.openxmlformats.org/officeDocument/2006/relationships/image" Target="media/image40.wmf"/><Relationship Id="rId72" Type="http://schemas.openxmlformats.org/officeDocument/2006/relationships/image" Target="media/image61.wmf"/><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59" Type="http://schemas.openxmlformats.org/officeDocument/2006/relationships/image" Target="media/image48.wmf"/><Relationship Id="rId67" Type="http://schemas.openxmlformats.org/officeDocument/2006/relationships/image" Target="media/image56.wmf"/><Relationship Id="rId20" Type="http://schemas.openxmlformats.org/officeDocument/2006/relationships/image" Target="media/image9.wmf"/><Relationship Id="rId41" Type="http://schemas.openxmlformats.org/officeDocument/2006/relationships/image" Target="media/image30.wmf"/><Relationship Id="rId54" Type="http://schemas.openxmlformats.org/officeDocument/2006/relationships/image" Target="media/image43.wmf"/><Relationship Id="rId62" Type="http://schemas.openxmlformats.org/officeDocument/2006/relationships/image" Target="media/image51.wmf"/><Relationship Id="rId70" Type="http://schemas.openxmlformats.org/officeDocument/2006/relationships/image" Target="media/image59.wmf"/><Relationship Id="rId75" Type="http://schemas.openxmlformats.org/officeDocument/2006/relationships/image" Target="media/image64.wmf"/><Relationship Id="rId1" Type="http://schemas.openxmlformats.org/officeDocument/2006/relationships/styles" Target="styles.xml"/><Relationship Id="rId6" Type="http://schemas.openxmlformats.org/officeDocument/2006/relationships/hyperlink" Target="consultantplus://offline/ref=74A892E0D853DB6636FCE5F4D19D8E2492616408FF131912CF0AA510HD5DX" TargetMode="Externa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8.wmf"/><Relationship Id="rId57" Type="http://schemas.openxmlformats.org/officeDocument/2006/relationships/image" Target="media/image4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7185</Words>
  <Characters>40959</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МРСК Сибири</Company>
  <LinksUpToDate>false</LinksUpToDate>
  <CharactersWithSpaces>48048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Анурин Максим Валерьевич</dc:creator>
  <cp:lastModifiedBy>Сухих Ольга Викторовна</cp:lastModifiedBy>
  <cp:revision>2</cp:revision>
  <dcterms:created xsi:type="dcterms:W3CDTF">2015-01-30T02:48:00Z</dcterms:created>
  <dcterms:modified xsi:type="dcterms:W3CDTF">2015-01-30T02:48:00Z</dcterms:modified>
</cp:coreProperties>
</file>